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4" w:beforeLines="200" w:after="312" w:afterLines="100" w:line="300" w:lineRule="auto"/>
        <w:jc w:val="center"/>
        <w:rPr>
          <w:rFonts w:ascii="黑体" w:hAnsi="黑体" w:eastAsia="黑体"/>
          <w:sz w:val="36"/>
          <w:szCs w:val="36"/>
        </w:rPr>
      </w:pPr>
      <w:bookmarkStart w:id="0" w:name="_GoBack"/>
      <w:bookmarkEnd w:id="0"/>
      <w:r>
        <w:rPr>
          <w:rFonts w:ascii="黑体" w:hAnsi="黑体" w:eastAsia="黑体"/>
          <w:sz w:val="36"/>
          <w:szCs w:val="36"/>
        </w:rPr>
        <w:t>OECD贸易便利化测评方法论的改进与实践</w:t>
      </w:r>
    </w:p>
    <w:p>
      <w:pPr>
        <w:spacing w:line="300" w:lineRule="auto"/>
        <w:rPr>
          <w:rFonts w:hint="eastAsia"/>
          <w:sz w:val="24"/>
          <w:szCs w:val="24"/>
        </w:rPr>
      </w:pPr>
      <w:r>
        <w:rPr>
          <w:sz w:val="24"/>
          <w:szCs w:val="24"/>
        </w:rPr>
        <w:t>作者</w:t>
      </w:r>
      <w:r>
        <w:rPr>
          <w:rFonts w:hint="eastAsia"/>
          <w:sz w:val="24"/>
          <w:szCs w:val="24"/>
        </w:rPr>
        <w:t>：</w:t>
      </w:r>
      <w:r>
        <w:rPr>
          <w:sz w:val="24"/>
          <w:szCs w:val="24"/>
        </w:rPr>
        <w:t>江小平</w:t>
      </w:r>
      <w:r>
        <w:rPr>
          <w:rFonts w:hint="eastAsia"/>
          <w:sz w:val="24"/>
          <w:szCs w:val="24"/>
        </w:rPr>
        <w:t>，</w:t>
      </w:r>
      <w:r>
        <w:rPr>
          <w:sz w:val="24"/>
          <w:szCs w:val="24"/>
        </w:rPr>
        <w:t>北京睿库贸易安全及便利化研究中心</w:t>
      </w:r>
      <w:r>
        <w:rPr>
          <w:rFonts w:hint="eastAsia"/>
          <w:sz w:val="24"/>
          <w:szCs w:val="24"/>
        </w:rPr>
        <w:t>（以下简称“睿库”）</w:t>
      </w:r>
      <w:r>
        <w:rPr>
          <w:sz w:val="24"/>
          <w:szCs w:val="24"/>
        </w:rPr>
        <w:t>主任</w:t>
      </w:r>
      <w:r>
        <w:rPr>
          <w:rFonts w:hint="eastAsia"/>
          <w:sz w:val="24"/>
          <w:szCs w:val="24"/>
        </w:rPr>
        <w:t>；</w:t>
      </w:r>
      <w:r>
        <w:rPr>
          <w:sz w:val="24"/>
          <w:szCs w:val="24"/>
        </w:rPr>
        <w:t>周卓见</w:t>
      </w:r>
      <w:r>
        <w:rPr>
          <w:rFonts w:hint="eastAsia"/>
          <w:sz w:val="24"/>
          <w:szCs w:val="24"/>
        </w:rPr>
        <w:t>，</w:t>
      </w:r>
      <w:r>
        <w:rPr>
          <w:sz w:val="24"/>
          <w:szCs w:val="24"/>
        </w:rPr>
        <w:t>北京睿库贸易安全及便利化研究中心项目经理</w:t>
      </w:r>
      <w:r>
        <w:rPr>
          <w:rFonts w:hint="eastAsia"/>
          <w:sz w:val="24"/>
          <w:szCs w:val="24"/>
        </w:rPr>
        <w:t>。</w:t>
      </w:r>
    </w:p>
    <w:p>
      <w:pPr>
        <w:spacing w:line="300" w:lineRule="auto"/>
        <w:rPr>
          <w:rFonts w:hint="eastAsia"/>
          <w:i/>
          <w:sz w:val="24"/>
          <w:szCs w:val="24"/>
        </w:rPr>
      </w:pPr>
      <w:r>
        <w:rPr>
          <w:i/>
          <w:color w:val="00B050"/>
          <w:sz w:val="24"/>
          <w:szCs w:val="24"/>
        </w:rPr>
        <w:t>睿库是一家独立经营且专注于关务及贸易领域问题的研究机构</w:t>
      </w:r>
      <w:r>
        <w:rPr>
          <w:rFonts w:hint="eastAsia"/>
          <w:i/>
          <w:color w:val="00B050"/>
          <w:sz w:val="24"/>
          <w:szCs w:val="24"/>
        </w:rPr>
        <w:t>。</w:t>
      </w:r>
      <w:r>
        <w:rPr>
          <w:i/>
          <w:color w:val="00B050"/>
          <w:sz w:val="24"/>
          <w:szCs w:val="24"/>
        </w:rPr>
        <w:t>通过本文</w:t>
      </w:r>
      <w:r>
        <w:rPr>
          <w:rFonts w:hint="eastAsia"/>
          <w:i/>
          <w:color w:val="00B050"/>
          <w:sz w:val="24"/>
          <w:szCs w:val="24"/>
        </w:rPr>
        <w:t>，</w:t>
      </w:r>
      <w:r>
        <w:rPr>
          <w:i/>
          <w:color w:val="00B050"/>
          <w:sz w:val="24"/>
          <w:szCs w:val="24"/>
        </w:rPr>
        <w:t>睿库希望表达对于OECD贸易便利化评测方法论进行研究后的深入思考</w:t>
      </w:r>
      <w:r>
        <w:rPr>
          <w:rFonts w:hint="eastAsia"/>
          <w:i/>
          <w:color w:val="00B050"/>
          <w:sz w:val="24"/>
          <w:szCs w:val="24"/>
        </w:rPr>
        <w:t>，以及为了使得相关评测更接近于实际表现所做的相关工作。</w:t>
      </w:r>
    </w:p>
    <w:p>
      <w:pPr>
        <w:spacing w:line="300" w:lineRule="auto"/>
        <w:rPr>
          <w:rFonts w:hint="eastAsia"/>
          <w:sz w:val="24"/>
          <w:szCs w:val="24"/>
        </w:rPr>
      </w:pPr>
    </w:p>
    <w:p>
      <w:pPr>
        <w:spacing w:before="312" w:beforeLines="100" w:line="300" w:lineRule="auto"/>
        <w:rPr>
          <w:rFonts w:ascii="黑体" w:hAnsi="黑体" w:eastAsia="黑体"/>
          <w:sz w:val="32"/>
          <w:szCs w:val="32"/>
        </w:rPr>
      </w:pPr>
      <w:r>
        <w:rPr>
          <w:rFonts w:hint="eastAsia" w:ascii="黑体" w:hAnsi="黑体" w:eastAsia="黑体"/>
          <w:sz w:val="32"/>
          <w:szCs w:val="32"/>
        </w:rPr>
        <w:t>OECD贸易便利化指标框架和测算方法</w:t>
      </w:r>
    </w:p>
    <w:p>
      <w:pPr>
        <w:spacing w:line="300" w:lineRule="auto"/>
        <w:ind w:firstLine="424" w:firstLineChars="177"/>
        <w:rPr>
          <w:sz w:val="24"/>
          <w:szCs w:val="24"/>
        </w:rPr>
      </w:pPr>
      <w:r>
        <w:rPr>
          <w:sz w:val="24"/>
          <w:szCs w:val="24"/>
        </w:rPr>
        <w:t>针对贸易便利化测评</w:t>
      </w:r>
      <w:r>
        <w:rPr>
          <w:rFonts w:hint="eastAsia"/>
          <w:sz w:val="24"/>
          <w:szCs w:val="24"/>
        </w:rPr>
        <w:t>，</w:t>
      </w:r>
      <w:r>
        <w:rPr>
          <w:sz w:val="24"/>
          <w:szCs w:val="24"/>
        </w:rPr>
        <w:t>诸多国际机构各自开展了许多工作</w:t>
      </w:r>
      <w:r>
        <w:rPr>
          <w:rFonts w:hint="eastAsia"/>
          <w:sz w:val="24"/>
          <w:szCs w:val="24"/>
        </w:rPr>
        <w:t>，</w:t>
      </w:r>
      <w:r>
        <w:rPr>
          <w:sz w:val="24"/>
          <w:szCs w:val="24"/>
        </w:rPr>
        <w:t>例如</w:t>
      </w:r>
      <w:r>
        <w:rPr>
          <w:rFonts w:hint="eastAsia"/>
          <w:sz w:val="24"/>
          <w:szCs w:val="24"/>
        </w:rPr>
        <w:t>：</w:t>
      </w:r>
      <w:r>
        <w:rPr>
          <w:sz w:val="24"/>
          <w:szCs w:val="24"/>
        </w:rPr>
        <w:t>世界银行的</w:t>
      </w:r>
      <w:r>
        <w:rPr>
          <w:rFonts w:hint="eastAsia"/>
          <w:sz w:val="24"/>
          <w:szCs w:val="24"/>
        </w:rPr>
        <w:t>《营商环境报告》跨境贸易部分、《物流绩效指数》，世界经济论坛的《全球贸易促进报告》和《全球竞争力报告》中的“海关手续负担”指标，以及OECD的“贸易便利化指标”数据库。这些研究工作当中，OECD的贸易便利化测评参考WTO《贸易便利化协定》框架，设定了一系列一级指标和二级指标，可以分为三类：</w:t>
      </w:r>
    </w:p>
    <w:p>
      <w:pPr>
        <w:spacing w:line="300" w:lineRule="auto"/>
        <w:ind w:firstLine="424" w:firstLineChars="177"/>
        <w:rPr>
          <w:sz w:val="24"/>
          <w:szCs w:val="24"/>
        </w:rPr>
      </w:pPr>
      <w:r>
        <w:rPr>
          <w:rFonts w:hint="eastAsia"/>
          <w:sz w:val="24"/>
          <w:szCs w:val="24"/>
        </w:rPr>
        <w:t>①进出口类贸易便利化指标（Import/Export Trade Facilitation Indicators）</w:t>
      </w:r>
    </w:p>
    <w:p>
      <w:pPr>
        <w:spacing w:line="300" w:lineRule="auto"/>
        <w:ind w:firstLine="424" w:firstLineChars="177"/>
        <w:rPr>
          <w:sz w:val="24"/>
          <w:szCs w:val="24"/>
        </w:rPr>
      </w:pPr>
      <w:r>
        <w:rPr>
          <w:rFonts w:hint="eastAsia"/>
          <w:sz w:val="24"/>
          <w:szCs w:val="24"/>
        </w:rPr>
        <w:t>②过境运输类贸易便利化指标（Transit Trade Facilitation Indicators）</w:t>
      </w:r>
    </w:p>
    <w:p>
      <w:pPr>
        <w:spacing w:line="300" w:lineRule="auto"/>
        <w:ind w:firstLine="424" w:firstLineChars="177"/>
        <w:rPr>
          <w:sz w:val="24"/>
          <w:szCs w:val="24"/>
        </w:rPr>
      </w:pPr>
      <w:r>
        <w:rPr>
          <w:rFonts w:hint="eastAsia"/>
          <w:sz w:val="24"/>
          <w:szCs w:val="24"/>
        </w:rPr>
        <w:t>③附加类</w:t>
      </w:r>
    </w:p>
    <w:p>
      <w:pPr>
        <w:spacing w:line="300" w:lineRule="auto"/>
        <w:ind w:firstLine="424" w:firstLineChars="177"/>
        <w:rPr>
          <w:sz w:val="24"/>
          <w:szCs w:val="24"/>
        </w:rPr>
      </w:pPr>
      <w:r>
        <w:rPr>
          <w:rFonts w:hint="eastAsia"/>
          <w:sz w:val="24"/>
          <w:szCs w:val="24"/>
        </w:rPr>
        <w:t>其中进出口类贸易便利化指标适用于绝大多数国家或地区，而过境运输类指标则仅适用于内陆国家（地区）。考虑到指标在不同国家或地区适用的普遍性，为便于比较，目前OECD在考察某一国家或地区综合贸易便利化水平时，通常使用的是第进出口类的11个一级指标。11个一级指标下又设置了76个二级指标（二级指标在2017年版本中扩增至15</w:t>
      </w:r>
      <w:r>
        <w:rPr>
          <w:sz w:val="24"/>
          <w:szCs w:val="24"/>
        </w:rPr>
        <w:t>5项</w:t>
      </w:r>
      <w:r>
        <w:rPr>
          <w:rFonts w:hint="eastAsia"/>
          <w:sz w:val="24"/>
          <w:szCs w:val="24"/>
        </w:rPr>
        <w:t>），深入地从多个角度测度了163个经济体贸易便利化水平。</w:t>
      </w:r>
    </w:p>
    <w:p>
      <w:pPr>
        <w:spacing w:line="300" w:lineRule="auto"/>
        <w:ind w:firstLine="424" w:firstLineChars="177"/>
        <w:rPr>
          <w:sz w:val="24"/>
          <w:szCs w:val="24"/>
        </w:rPr>
      </w:pPr>
      <w:r>
        <w:rPr>
          <w:rFonts w:hint="eastAsia"/>
          <w:sz w:val="24"/>
          <w:szCs w:val="24"/>
        </w:rPr>
        <w:t>实际上OECD贸易便利化评价方法的总体思路较为简单：首先计算一国家或地区二级指标的得分，然后算术平均计算其上一级指标的得分，如果要计算综合贸易便利化水平，则将11个一级指标的得分进行算术平均。</w:t>
      </w:r>
    </w:p>
    <w:p>
      <w:pPr>
        <w:spacing w:line="300" w:lineRule="auto"/>
        <w:ind w:firstLine="424" w:firstLineChars="177"/>
        <w:rPr>
          <w:rFonts w:asciiTheme="minorEastAsia" w:hAnsiTheme="minorEastAsia"/>
          <w:sz w:val="24"/>
          <w:szCs w:val="24"/>
        </w:rPr>
      </w:pPr>
      <w:r>
        <w:rPr>
          <w:rFonts w:hint="eastAsia" w:asciiTheme="minorEastAsia" w:hAnsiTheme="minorEastAsia"/>
          <w:sz w:val="24"/>
          <w:szCs w:val="24"/>
        </w:rPr>
        <w:t>最基本的二级指标的评分方法包括 “直接评分”和“间接评分”。直接评分是指通过查询一国（地区）海关官方网站、海关公布的规制、相关的权威报告，或者组织相关的问卷调查，根据查询和调查得到的相关信息直接给出分数。间接评分则是依据已有的一些国际性报告、数据库中的相关数据，或者通过其他渠道获得的相关数据，依据一定的规则转化为该指标的得分。</w:t>
      </w:r>
    </w:p>
    <w:p>
      <w:pPr>
        <w:spacing w:before="312" w:beforeLines="100" w:line="300" w:lineRule="auto"/>
        <w:rPr>
          <w:rFonts w:ascii="黑体" w:hAnsi="黑体" w:eastAsia="黑体"/>
          <w:sz w:val="32"/>
          <w:szCs w:val="32"/>
        </w:rPr>
      </w:pPr>
      <w:r>
        <w:rPr>
          <w:rFonts w:ascii="黑体" w:hAnsi="黑体" w:eastAsia="黑体"/>
          <w:sz w:val="32"/>
          <w:szCs w:val="32"/>
        </w:rPr>
        <w:t>OECD对中国的贸易便利化测评和其中</w:t>
      </w:r>
      <w:r>
        <w:rPr>
          <w:rFonts w:hint="eastAsia" w:ascii="黑体" w:hAnsi="黑体" w:eastAsia="黑体"/>
          <w:sz w:val="32"/>
          <w:szCs w:val="32"/>
        </w:rPr>
        <w:t>出现</w:t>
      </w:r>
      <w:r>
        <w:rPr>
          <w:rFonts w:ascii="黑体" w:hAnsi="黑体" w:eastAsia="黑体"/>
          <w:sz w:val="32"/>
          <w:szCs w:val="32"/>
        </w:rPr>
        <w:t>的偏差</w:t>
      </w:r>
    </w:p>
    <w:p>
      <w:pPr>
        <w:spacing w:line="300" w:lineRule="auto"/>
        <w:ind w:firstLine="424" w:firstLineChars="177"/>
        <w:rPr>
          <w:sz w:val="24"/>
          <w:szCs w:val="24"/>
        </w:rPr>
      </w:pPr>
      <w:r>
        <w:rPr>
          <w:sz w:val="24"/>
          <w:szCs w:val="24"/>
        </w:rPr>
        <w:t>对于中国的贸易便利化水平</w:t>
      </w:r>
      <w:r>
        <w:rPr>
          <w:rFonts w:hint="eastAsia"/>
          <w:sz w:val="24"/>
          <w:szCs w:val="24"/>
        </w:rPr>
        <w:t>，</w:t>
      </w:r>
      <w:r>
        <w:rPr>
          <w:sz w:val="24"/>
          <w:szCs w:val="24"/>
        </w:rPr>
        <w:t>OECD在</w:t>
      </w:r>
      <w:r>
        <w:rPr>
          <w:rFonts w:hint="eastAsia"/>
          <w:sz w:val="24"/>
          <w:szCs w:val="24"/>
        </w:rPr>
        <w:t>2012年、2015年、2017年的三次评测如下：</w:t>
      </w:r>
    </w:p>
    <w:p>
      <w:pPr>
        <w:spacing w:line="300" w:lineRule="auto"/>
        <w:jc w:val="center"/>
        <w:rPr>
          <w:sz w:val="24"/>
          <w:szCs w:val="24"/>
        </w:rPr>
      </w:pPr>
      <w:r>
        <w:rPr>
          <w:sz w:val="24"/>
          <w:szCs w:val="24"/>
        </w:rPr>
        <w:t>表</w:t>
      </w:r>
      <w:r>
        <w:rPr>
          <w:rFonts w:hint="eastAsia"/>
          <w:sz w:val="24"/>
          <w:szCs w:val="24"/>
        </w:rPr>
        <w:t>1：OECD对中国贸易便利化进行的评测（2012/2015/2017）</w:t>
      </w:r>
    </w:p>
    <w:tbl>
      <w:tblPr>
        <w:tblStyle w:val="8"/>
        <w:tblW w:w="71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7"/>
        <w:gridCol w:w="1149"/>
        <w:gridCol w:w="1150"/>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3697" w:type="dxa"/>
            <w:tcBorders>
              <w:tl2br w:val="single" w:color="auto" w:sz="4" w:space="0"/>
            </w:tcBorders>
          </w:tcPr>
          <w:p>
            <w:pPr>
              <w:spacing w:line="300" w:lineRule="auto"/>
              <w:ind w:left="2400" w:hanging="2400" w:hangingChars="1000"/>
              <w:rPr>
                <w:sz w:val="24"/>
                <w:szCs w:val="24"/>
              </w:rPr>
            </w:pPr>
            <w:r>
              <w:rPr>
                <w:sz w:val="24"/>
                <w:szCs w:val="24"/>
              </w:rPr>
              <w:t xml:space="preserve">                        年份</w:t>
            </w:r>
          </w:p>
          <w:p>
            <w:pPr>
              <w:spacing w:line="300" w:lineRule="auto"/>
              <w:rPr>
                <w:sz w:val="24"/>
                <w:szCs w:val="24"/>
              </w:rPr>
            </w:pPr>
            <w:r>
              <w:rPr>
                <w:rFonts w:hint="eastAsia"/>
                <w:sz w:val="24"/>
                <w:szCs w:val="24"/>
              </w:rPr>
              <w:t>指标</w:t>
            </w:r>
          </w:p>
        </w:tc>
        <w:tc>
          <w:tcPr>
            <w:tcW w:w="1149" w:type="dxa"/>
            <w:vAlign w:val="center"/>
          </w:tcPr>
          <w:p>
            <w:pPr>
              <w:spacing w:line="300" w:lineRule="auto"/>
              <w:jc w:val="center"/>
              <w:rPr>
                <w:sz w:val="24"/>
                <w:szCs w:val="24"/>
              </w:rPr>
            </w:pPr>
            <w:r>
              <w:rPr>
                <w:rFonts w:hint="eastAsia"/>
                <w:sz w:val="24"/>
                <w:szCs w:val="24"/>
              </w:rPr>
              <w:t>2012</w:t>
            </w:r>
          </w:p>
        </w:tc>
        <w:tc>
          <w:tcPr>
            <w:tcW w:w="1150" w:type="dxa"/>
            <w:vAlign w:val="center"/>
          </w:tcPr>
          <w:p>
            <w:pPr>
              <w:spacing w:line="300" w:lineRule="auto"/>
              <w:jc w:val="center"/>
              <w:rPr>
                <w:sz w:val="24"/>
                <w:szCs w:val="24"/>
              </w:rPr>
            </w:pPr>
            <w:r>
              <w:rPr>
                <w:rFonts w:hint="eastAsia"/>
                <w:sz w:val="24"/>
                <w:szCs w:val="24"/>
              </w:rPr>
              <w:t>2015</w:t>
            </w:r>
          </w:p>
        </w:tc>
        <w:tc>
          <w:tcPr>
            <w:tcW w:w="1150" w:type="dxa"/>
            <w:vAlign w:val="center"/>
          </w:tcPr>
          <w:p>
            <w:pPr>
              <w:spacing w:line="300" w:lineRule="auto"/>
              <w:jc w:val="center"/>
              <w:rPr>
                <w:sz w:val="24"/>
                <w:szCs w:val="24"/>
              </w:rPr>
            </w:pPr>
            <w:r>
              <w:rPr>
                <w:rFonts w:hint="eastAsia"/>
                <w:sz w:val="24"/>
                <w:szCs w:val="24"/>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3697" w:type="dxa"/>
            <w:vAlign w:val="center"/>
          </w:tcPr>
          <w:p>
            <w:pPr>
              <w:widowControl/>
              <w:jc w:val="left"/>
              <w:rPr>
                <w:color w:val="000000"/>
                <w:sz w:val="22"/>
              </w:rPr>
            </w:pPr>
            <w:r>
              <w:rPr>
                <w:rFonts w:hint="eastAsia"/>
                <w:color w:val="000000"/>
                <w:sz w:val="22"/>
              </w:rPr>
              <w:t>信息的可获得性</w:t>
            </w:r>
          </w:p>
        </w:tc>
        <w:tc>
          <w:tcPr>
            <w:tcW w:w="1149" w:type="dxa"/>
            <w:vAlign w:val="center"/>
          </w:tcPr>
          <w:p>
            <w:pPr>
              <w:spacing w:line="300" w:lineRule="auto"/>
              <w:jc w:val="center"/>
              <w:rPr>
                <w:sz w:val="24"/>
                <w:szCs w:val="24"/>
              </w:rPr>
            </w:pPr>
            <w:r>
              <w:rPr>
                <w:rFonts w:hint="eastAsia"/>
                <w:sz w:val="24"/>
                <w:szCs w:val="24"/>
              </w:rPr>
              <w:t>1.56</w:t>
            </w:r>
          </w:p>
        </w:tc>
        <w:tc>
          <w:tcPr>
            <w:tcW w:w="1150" w:type="dxa"/>
            <w:vAlign w:val="center"/>
          </w:tcPr>
          <w:p>
            <w:pPr>
              <w:spacing w:line="300" w:lineRule="auto"/>
              <w:jc w:val="center"/>
              <w:rPr>
                <w:sz w:val="24"/>
                <w:szCs w:val="24"/>
              </w:rPr>
            </w:pPr>
            <w:r>
              <w:rPr>
                <w:rFonts w:hint="eastAsia"/>
                <w:sz w:val="24"/>
                <w:szCs w:val="24"/>
              </w:rPr>
              <w:t>1.80</w:t>
            </w:r>
          </w:p>
        </w:tc>
        <w:tc>
          <w:tcPr>
            <w:tcW w:w="1150" w:type="dxa"/>
            <w:vAlign w:val="center"/>
          </w:tcPr>
          <w:p>
            <w:pPr>
              <w:spacing w:line="300" w:lineRule="auto"/>
              <w:jc w:val="center"/>
              <w:rPr>
                <w:sz w:val="24"/>
                <w:szCs w:val="24"/>
              </w:rPr>
            </w:pPr>
            <w:r>
              <w:rPr>
                <w:rFonts w:hint="eastAsia"/>
                <w:sz w:val="24"/>
                <w:szCs w:val="24"/>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3697" w:type="dxa"/>
            <w:vAlign w:val="center"/>
          </w:tcPr>
          <w:p>
            <w:pPr>
              <w:rPr>
                <w:color w:val="000000"/>
                <w:sz w:val="22"/>
              </w:rPr>
            </w:pPr>
            <w:r>
              <w:rPr>
                <w:rFonts w:hint="eastAsia"/>
                <w:color w:val="000000"/>
                <w:sz w:val="22"/>
              </w:rPr>
              <w:t>商界参与</w:t>
            </w:r>
          </w:p>
        </w:tc>
        <w:tc>
          <w:tcPr>
            <w:tcW w:w="1149" w:type="dxa"/>
            <w:vAlign w:val="center"/>
          </w:tcPr>
          <w:p>
            <w:pPr>
              <w:spacing w:line="300" w:lineRule="auto"/>
              <w:jc w:val="center"/>
              <w:rPr>
                <w:sz w:val="24"/>
                <w:szCs w:val="24"/>
              </w:rPr>
            </w:pPr>
            <w:r>
              <w:rPr>
                <w:rFonts w:hint="eastAsia"/>
                <w:sz w:val="24"/>
                <w:szCs w:val="24"/>
              </w:rPr>
              <w:t>1.50</w:t>
            </w:r>
          </w:p>
        </w:tc>
        <w:tc>
          <w:tcPr>
            <w:tcW w:w="1150" w:type="dxa"/>
            <w:vAlign w:val="center"/>
          </w:tcPr>
          <w:p>
            <w:pPr>
              <w:spacing w:line="300" w:lineRule="auto"/>
              <w:jc w:val="center"/>
              <w:rPr>
                <w:sz w:val="24"/>
                <w:szCs w:val="24"/>
              </w:rPr>
            </w:pPr>
            <w:r>
              <w:rPr>
                <w:rFonts w:hint="eastAsia"/>
                <w:sz w:val="24"/>
                <w:szCs w:val="24"/>
              </w:rPr>
              <w:t>1.75</w:t>
            </w:r>
          </w:p>
        </w:tc>
        <w:tc>
          <w:tcPr>
            <w:tcW w:w="1150" w:type="dxa"/>
            <w:vAlign w:val="center"/>
          </w:tcPr>
          <w:p>
            <w:pPr>
              <w:spacing w:line="300" w:lineRule="auto"/>
              <w:jc w:val="center"/>
              <w:rPr>
                <w:sz w:val="24"/>
                <w:szCs w:val="24"/>
              </w:rPr>
            </w:pPr>
            <w:r>
              <w:rPr>
                <w:rFonts w:hint="eastAsia"/>
                <w:sz w:val="24"/>
                <w:szCs w:val="24"/>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3697" w:type="dxa"/>
            <w:vAlign w:val="center"/>
          </w:tcPr>
          <w:p>
            <w:pPr>
              <w:rPr>
                <w:color w:val="000000"/>
                <w:sz w:val="22"/>
              </w:rPr>
            </w:pPr>
            <w:r>
              <w:rPr>
                <w:rFonts w:hint="eastAsia"/>
                <w:color w:val="000000"/>
                <w:sz w:val="22"/>
              </w:rPr>
              <w:t>预裁定</w:t>
            </w:r>
          </w:p>
        </w:tc>
        <w:tc>
          <w:tcPr>
            <w:tcW w:w="1149" w:type="dxa"/>
            <w:vAlign w:val="center"/>
          </w:tcPr>
          <w:p>
            <w:pPr>
              <w:spacing w:line="300" w:lineRule="auto"/>
              <w:jc w:val="center"/>
              <w:rPr>
                <w:sz w:val="24"/>
                <w:szCs w:val="24"/>
              </w:rPr>
            </w:pPr>
            <w:r>
              <w:rPr>
                <w:rFonts w:hint="eastAsia"/>
                <w:sz w:val="24"/>
                <w:szCs w:val="24"/>
              </w:rPr>
              <w:t>1.50</w:t>
            </w:r>
          </w:p>
        </w:tc>
        <w:tc>
          <w:tcPr>
            <w:tcW w:w="1150" w:type="dxa"/>
            <w:vAlign w:val="center"/>
          </w:tcPr>
          <w:p>
            <w:pPr>
              <w:spacing w:line="300" w:lineRule="auto"/>
              <w:jc w:val="center"/>
              <w:rPr>
                <w:sz w:val="24"/>
                <w:szCs w:val="24"/>
              </w:rPr>
            </w:pPr>
            <w:r>
              <w:rPr>
                <w:rFonts w:hint="eastAsia"/>
                <w:sz w:val="24"/>
                <w:szCs w:val="24"/>
              </w:rPr>
              <w:t>1.43</w:t>
            </w:r>
          </w:p>
        </w:tc>
        <w:tc>
          <w:tcPr>
            <w:tcW w:w="1150" w:type="dxa"/>
            <w:vAlign w:val="center"/>
          </w:tcPr>
          <w:p>
            <w:pPr>
              <w:spacing w:line="300" w:lineRule="auto"/>
              <w:jc w:val="center"/>
              <w:rPr>
                <w:sz w:val="24"/>
                <w:szCs w:val="24"/>
              </w:rPr>
            </w:pPr>
            <w:r>
              <w:rPr>
                <w:rFonts w:hint="eastAsia"/>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3697" w:type="dxa"/>
            <w:vAlign w:val="center"/>
          </w:tcPr>
          <w:p>
            <w:pPr>
              <w:rPr>
                <w:color w:val="000000"/>
                <w:sz w:val="22"/>
              </w:rPr>
            </w:pPr>
            <w:r>
              <w:rPr>
                <w:rFonts w:hint="eastAsia"/>
                <w:color w:val="000000"/>
                <w:sz w:val="22"/>
              </w:rPr>
              <w:t>上诉程序</w:t>
            </w:r>
          </w:p>
        </w:tc>
        <w:tc>
          <w:tcPr>
            <w:tcW w:w="1149" w:type="dxa"/>
            <w:vAlign w:val="center"/>
          </w:tcPr>
          <w:p>
            <w:pPr>
              <w:spacing w:line="300" w:lineRule="auto"/>
              <w:jc w:val="center"/>
              <w:rPr>
                <w:sz w:val="24"/>
                <w:szCs w:val="24"/>
              </w:rPr>
            </w:pPr>
            <w:r>
              <w:rPr>
                <w:rFonts w:hint="eastAsia"/>
                <w:sz w:val="24"/>
                <w:szCs w:val="24"/>
              </w:rPr>
              <w:t>1.71</w:t>
            </w:r>
          </w:p>
        </w:tc>
        <w:tc>
          <w:tcPr>
            <w:tcW w:w="1150" w:type="dxa"/>
            <w:vAlign w:val="center"/>
          </w:tcPr>
          <w:p>
            <w:pPr>
              <w:spacing w:line="300" w:lineRule="auto"/>
              <w:jc w:val="center"/>
              <w:rPr>
                <w:sz w:val="24"/>
                <w:szCs w:val="24"/>
              </w:rPr>
            </w:pPr>
            <w:r>
              <w:rPr>
                <w:rFonts w:hint="eastAsia"/>
                <w:sz w:val="24"/>
                <w:szCs w:val="24"/>
              </w:rPr>
              <w:t>1.13</w:t>
            </w:r>
          </w:p>
        </w:tc>
        <w:tc>
          <w:tcPr>
            <w:tcW w:w="1150" w:type="dxa"/>
            <w:vAlign w:val="center"/>
          </w:tcPr>
          <w:p>
            <w:pPr>
              <w:spacing w:line="300" w:lineRule="auto"/>
              <w:jc w:val="center"/>
              <w:rPr>
                <w:sz w:val="24"/>
                <w:szCs w:val="24"/>
              </w:rPr>
            </w:pPr>
            <w:r>
              <w:rPr>
                <w:rFonts w:hint="eastAsia"/>
                <w:sz w:val="24"/>
                <w:szCs w:val="24"/>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3697" w:type="dxa"/>
            <w:vAlign w:val="center"/>
          </w:tcPr>
          <w:p>
            <w:pPr>
              <w:rPr>
                <w:color w:val="000000"/>
                <w:sz w:val="22"/>
              </w:rPr>
            </w:pPr>
            <w:r>
              <w:rPr>
                <w:rFonts w:hint="eastAsia"/>
                <w:color w:val="000000"/>
                <w:sz w:val="22"/>
              </w:rPr>
              <w:t>规费和费用</w:t>
            </w:r>
          </w:p>
        </w:tc>
        <w:tc>
          <w:tcPr>
            <w:tcW w:w="1149" w:type="dxa"/>
            <w:vAlign w:val="center"/>
          </w:tcPr>
          <w:p>
            <w:pPr>
              <w:spacing w:line="300" w:lineRule="auto"/>
              <w:jc w:val="center"/>
              <w:rPr>
                <w:sz w:val="24"/>
                <w:szCs w:val="24"/>
              </w:rPr>
            </w:pPr>
            <w:r>
              <w:rPr>
                <w:rFonts w:hint="eastAsia"/>
                <w:sz w:val="24"/>
                <w:szCs w:val="24"/>
              </w:rPr>
              <w:t>2.00</w:t>
            </w:r>
          </w:p>
        </w:tc>
        <w:tc>
          <w:tcPr>
            <w:tcW w:w="1150" w:type="dxa"/>
            <w:vAlign w:val="center"/>
          </w:tcPr>
          <w:p>
            <w:pPr>
              <w:spacing w:line="300" w:lineRule="auto"/>
              <w:jc w:val="center"/>
              <w:rPr>
                <w:sz w:val="24"/>
                <w:szCs w:val="24"/>
              </w:rPr>
            </w:pPr>
            <w:r>
              <w:rPr>
                <w:rFonts w:hint="eastAsia"/>
                <w:sz w:val="24"/>
                <w:szCs w:val="24"/>
              </w:rPr>
              <w:t>1.75</w:t>
            </w:r>
          </w:p>
        </w:tc>
        <w:tc>
          <w:tcPr>
            <w:tcW w:w="1150" w:type="dxa"/>
            <w:vAlign w:val="center"/>
          </w:tcPr>
          <w:p>
            <w:pPr>
              <w:spacing w:line="300" w:lineRule="auto"/>
              <w:jc w:val="center"/>
              <w:rPr>
                <w:sz w:val="24"/>
                <w:szCs w:val="24"/>
              </w:rPr>
            </w:pPr>
            <w:r>
              <w:rPr>
                <w:rFonts w:hint="eastAsia"/>
                <w:sz w:val="24"/>
                <w:szCs w:val="24"/>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3697" w:type="dxa"/>
            <w:vAlign w:val="center"/>
          </w:tcPr>
          <w:p>
            <w:pPr>
              <w:rPr>
                <w:color w:val="000000"/>
                <w:sz w:val="22"/>
              </w:rPr>
            </w:pPr>
            <w:r>
              <w:rPr>
                <w:rFonts w:hint="eastAsia"/>
                <w:color w:val="000000"/>
                <w:sz w:val="22"/>
              </w:rPr>
              <w:t>单证类手续</w:t>
            </w:r>
          </w:p>
        </w:tc>
        <w:tc>
          <w:tcPr>
            <w:tcW w:w="1149" w:type="dxa"/>
            <w:vAlign w:val="center"/>
          </w:tcPr>
          <w:p>
            <w:pPr>
              <w:spacing w:line="300" w:lineRule="auto"/>
              <w:jc w:val="center"/>
              <w:rPr>
                <w:sz w:val="24"/>
                <w:szCs w:val="24"/>
              </w:rPr>
            </w:pPr>
            <w:r>
              <w:rPr>
                <w:rFonts w:hint="eastAsia"/>
                <w:sz w:val="24"/>
                <w:szCs w:val="24"/>
              </w:rPr>
              <w:t>1.17</w:t>
            </w:r>
          </w:p>
        </w:tc>
        <w:tc>
          <w:tcPr>
            <w:tcW w:w="1150" w:type="dxa"/>
            <w:vAlign w:val="center"/>
          </w:tcPr>
          <w:p>
            <w:pPr>
              <w:spacing w:line="300" w:lineRule="auto"/>
              <w:jc w:val="center"/>
              <w:rPr>
                <w:sz w:val="24"/>
                <w:szCs w:val="24"/>
              </w:rPr>
            </w:pPr>
            <w:r>
              <w:rPr>
                <w:rFonts w:hint="eastAsia"/>
                <w:sz w:val="24"/>
                <w:szCs w:val="24"/>
              </w:rPr>
              <w:t>0.83</w:t>
            </w:r>
          </w:p>
        </w:tc>
        <w:tc>
          <w:tcPr>
            <w:tcW w:w="1150" w:type="dxa"/>
            <w:vAlign w:val="center"/>
          </w:tcPr>
          <w:p>
            <w:pPr>
              <w:spacing w:line="300" w:lineRule="auto"/>
              <w:jc w:val="center"/>
              <w:rPr>
                <w:sz w:val="24"/>
                <w:szCs w:val="24"/>
              </w:rPr>
            </w:pPr>
            <w:r>
              <w:rPr>
                <w:rFonts w:hint="eastAsia"/>
                <w:sz w:val="24"/>
                <w:szCs w:val="24"/>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3697" w:type="dxa"/>
            <w:vAlign w:val="center"/>
          </w:tcPr>
          <w:p>
            <w:pPr>
              <w:rPr>
                <w:color w:val="000000"/>
                <w:sz w:val="22"/>
              </w:rPr>
            </w:pPr>
            <w:r>
              <w:rPr>
                <w:rFonts w:hint="eastAsia"/>
                <w:color w:val="000000"/>
                <w:sz w:val="22"/>
              </w:rPr>
              <w:t>手续（自动化）</w:t>
            </w:r>
          </w:p>
        </w:tc>
        <w:tc>
          <w:tcPr>
            <w:tcW w:w="1149" w:type="dxa"/>
            <w:vAlign w:val="center"/>
          </w:tcPr>
          <w:p>
            <w:pPr>
              <w:spacing w:line="300" w:lineRule="auto"/>
              <w:jc w:val="center"/>
              <w:rPr>
                <w:sz w:val="24"/>
                <w:szCs w:val="24"/>
              </w:rPr>
            </w:pPr>
            <w:r>
              <w:rPr>
                <w:rFonts w:hint="eastAsia"/>
                <w:sz w:val="24"/>
                <w:szCs w:val="24"/>
              </w:rPr>
              <w:t>1.75</w:t>
            </w:r>
          </w:p>
        </w:tc>
        <w:tc>
          <w:tcPr>
            <w:tcW w:w="1150" w:type="dxa"/>
            <w:vAlign w:val="center"/>
          </w:tcPr>
          <w:p>
            <w:pPr>
              <w:spacing w:line="300" w:lineRule="auto"/>
              <w:jc w:val="center"/>
              <w:rPr>
                <w:sz w:val="24"/>
                <w:szCs w:val="24"/>
              </w:rPr>
            </w:pPr>
            <w:r>
              <w:rPr>
                <w:rFonts w:hint="eastAsia"/>
                <w:sz w:val="24"/>
                <w:szCs w:val="24"/>
              </w:rPr>
              <w:t>1.75</w:t>
            </w:r>
          </w:p>
        </w:tc>
        <w:tc>
          <w:tcPr>
            <w:tcW w:w="1150" w:type="dxa"/>
            <w:vAlign w:val="center"/>
          </w:tcPr>
          <w:p>
            <w:pPr>
              <w:spacing w:line="300" w:lineRule="auto"/>
              <w:jc w:val="center"/>
              <w:rPr>
                <w:sz w:val="24"/>
                <w:szCs w:val="24"/>
              </w:rPr>
            </w:pPr>
            <w:r>
              <w:rPr>
                <w:rFonts w:hint="eastAsia"/>
                <w:sz w:val="24"/>
                <w:szCs w:val="24"/>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3697" w:type="dxa"/>
            <w:vAlign w:val="center"/>
          </w:tcPr>
          <w:p>
            <w:pPr>
              <w:rPr>
                <w:color w:val="000000"/>
                <w:sz w:val="22"/>
              </w:rPr>
            </w:pPr>
            <w:r>
              <w:rPr>
                <w:rFonts w:hint="eastAsia"/>
                <w:color w:val="000000"/>
                <w:sz w:val="22"/>
              </w:rPr>
              <w:t>手续（流程）</w:t>
            </w:r>
          </w:p>
        </w:tc>
        <w:tc>
          <w:tcPr>
            <w:tcW w:w="1149" w:type="dxa"/>
            <w:vAlign w:val="center"/>
          </w:tcPr>
          <w:p>
            <w:pPr>
              <w:spacing w:line="300" w:lineRule="auto"/>
              <w:jc w:val="center"/>
              <w:rPr>
                <w:sz w:val="24"/>
                <w:szCs w:val="24"/>
              </w:rPr>
            </w:pPr>
            <w:r>
              <w:rPr>
                <w:rFonts w:hint="eastAsia"/>
                <w:sz w:val="24"/>
                <w:szCs w:val="24"/>
              </w:rPr>
              <w:t>1.29</w:t>
            </w:r>
          </w:p>
        </w:tc>
        <w:tc>
          <w:tcPr>
            <w:tcW w:w="1150" w:type="dxa"/>
            <w:vAlign w:val="center"/>
          </w:tcPr>
          <w:p>
            <w:pPr>
              <w:spacing w:line="300" w:lineRule="auto"/>
              <w:jc w:val="center"/>
              <w:rPr>
                <w:sz w:val="24"/>
                <w:szCs w:val="24"/>
              </w:rPr>
            </w:pPr>
            <w:r>
              <w:rPr>
                <w:rFonts w:hint="eastAsia"/>
                <w:sz w:val="24"/>
                <w:szCs w:val="24"/>
              </w:rPr>
              <w:t>1.50</w:t>
            </w:r>
          </w:p>
        </w:tc>
        <w:tc>
          <w:tcPr>
            <w:tcW w:w="1150" w:type="dxa"/>
            <w:vAlign w:val="center"/>
          </w:tcPr>
          <w:p>
            <w:pPr>
              <w:spacing w:line="300" w:lineRule="auto"/>
              <w:jc w:val="center"/>
              <w:rPr>
                <w:sz w:val="24"/>
                <w:szCs w:val="24"/>
              </w:rPr>
            </w:pPr>
            <w:r>
              <w:rPr>
                <w:rFonts w:hint="eastAsia"/>
                <w:sz w:val="24"/>
                <w:szCs w:val="24"/>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3697" w:type="dxa"/>
            <w:vAlign w:val="center"/>
          </w:tcPr>
          <w:p>
            <w:pPr>
              <w:rPr>
                <w:color w:val="000000"/>
                <w:sz w:val="22"/>
              </w:rPr>
            </w:pPr>
            <w:r>
              <w:rPr>
                <w:rFonts w:hint="eastAsia"/>
                <w:color w:val="000000"/>
                <w:sz w:val="22"/>
              </w:rPr>
              <w:t>边境机构合作（内部）</w:t>
            </w:r>
          </w:p>
        </w:tc>
        <w:tc>
          <w:tcPr>
            <w:tcW w:w="1149" w:type="dxa"/>
            <w:vAlign w:val="center"/>
          </w:tcPr>
          <w:p>
            <w:pPr>
              <w:spacing w:line="300" w:lineRule="auto"/>
              <w:jc w:val="center"/>
              <w:rPr>
                <w:sz w:val="24"/>
                <w:szCs w:val="24"/>
              </w:rPr>
            </w:pPr>
            <w:r>
              <w:rPr>
                <w:rFonts w:hint="eastAsia"/>
                <w:sz w:val="24"/>
                <w:szCs w:val="24"/>
              </w:rPr>
              <w:t>1.00</w:t>
            </w:r>
          </w:p>
        </w:tc>
        <w:tc>
          <w:tcPr>
            <w:tcW w:w="1150" w:type="dxa"/>
            <w:vAlign w:val="center"/>
          </w:tcPr>
          <w:p>
            <w:pPr>
              <w:spacing w:line="300" w:lineRule="auto"/>
              <w:jc w:val="center"/>
              <w:rPr>
                <w:sz w:val="24"/>
                <w:szCs w:val="24"/>
              </w:rPr>
            </w:pPr>
            <w:r>
              <w:rPr>
                <w:rFonts w:hint="eastAsia"/>
                <w:sz w:val="24"/>
                <w:szCs w:val="24"/>
              </w:rPr>
              <w:t>1.00</w:t>
            </w:r>
          </w:p>
        </w:tc>
        <w:tc>
          <w:tcPr>
            <w:tcW w:w="1150" w:type="dxa"/>
            <w:vAlign w:val="center"/>
          </w:tcPr>
          <w:p>
            <w:pPr>
              <w:spacing w:line="300" w:lineRule="auto"/>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3697" w:type="dxa"/>
            <w:vAlign w:val="center"/>
          </w:tcPr>
          <w:p>
            <w:pPr>
              <w:rPr>
                <w:color w:val="000000"/>
                <w:sz w:val="22"/>
              </w:rPr>
            </w:pPr>
            <w:r>
              <w:rPr>
                <w:rFonts w:hint="eastAsia"/>
                <w:color w:val="000000"/>
                <w:sz w:val="22"/>
              </w:rPr>
              <w:t>边境机构合作（外部）</w:t>
            </w:r>
          </w:p>
        </w:tc>
        <w:tc>
          <w:tcPr>
            <w:tcW w:w="1149" w:type="dxa"/>
            <w:vAlign w:val="center"/>
          </w:tcPr>
          <w:p>
            <w:pPr>
              <w:spacing w:line="300" w:lineRule="auto"/>
              <w:jc w:val="center"/>
              <w:rPr>
                <w:sz w:val="24"/>
                <w:szCs w:val="24"/>
              </w:rPr>
            </w:pPr>
          </w:p>
        </w:tc>
        <w:tc>
          <w:tcPr>
            <w:tcW w:w="1150" w:type="dxa"/>
            <w:vAlign w:val="center"/>
          </w:tcPr>
          <w:p>
            <w:pPr>
              <w:spacing w:line="300" w:lineRule="auto"/>
              <w:jc w:val="center"/>
              <w:rPr>
                <w:sz w:val="24"/>
                <w:szCs w:val="24"/>
              </w:rPr>
            </w:pPr>
            <w:r>
              <w:rPr>
                <w:rFonts w:hint="eastAsia"/>
                <w:sz w:val="24"/>
                <w:szCs w:val="24"/>
              </w:rPr>
              <w:t>1.00</w:t>
            </w:r>
          </w:p>
        </w:tc>
        <w:tc>
          <w:tcPr>
            <w:tcW w:w="1150" w:type="dxa"/>
            <w:vAlign w:val="center"/>
          </w:tcPr>
          <w:p>
            <w:pPr>
              <w:spacing w:line="300" w:lineRule="auto"/>
              <w:jc w:val="center"/>
              <w:rPr>
                <w:sz w:val="24"/>
                <w:szCs w:val="24"/>
              </w:rPr>
            </w:pPr>
            <w:r>
              <w:rPr>
                <w:rFonts w:hint="eastAsia"/>
                <w:sz w:val="24"/>
                <w:szCs w:val="24"/>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3697" w:type="dxa"/>
            <w:vAlign w:val="center"/>
          </w:tcPr>
          <w:p>
            <w:pPr>
              <w:rPr>
                <w:color w:val="000000"/>
                <w:sz w:val="22"/>
              </w:rPr>
            </w:pPr>
            <w:r>
              <w:rPr>
                <w:rFonts w:hint="eastAsia"/>
                <w:color w:val="000000"/>
                <w:sz w:val="22"/>
              </w:rPr>
              <w:t>治理能力与公正性</w:t>
            </w:r>
          </w:p>
        </w:tc>
        <w:tc>
          <w:tcPr>
            <w:tcW w:w="1149" w:type="dxa"/>
            <w:vAlign w:val="center"/>
          </w:tcPr>
          <w:p>
            <w:pPr>
              <w:spacing w:line="300" w:lineRule="auto"/>
              <w:jc w:val="center"/>
              <w:rPr>
                <w:sz w:val="24"/>
                <w:szCs w:val="24"/>
              </w:rPr>
            </w:pPr>
            <w:r>
              <w:rPr>
                <w:rFonts w:hint="eastAsia"/>
                <w:sz w:val="24"/>
                <w:szCs w:val="24"/>
              </w:rPr>
              <w:t>1.86</w:t>
            </w:r>
          </w:p>
        </w:tc>
        <w:tc>
          <w:tcPr>
            <w:tcW w:w="1150" w:type="dxa"/>
            <w:vAlign w:val="center"/>
          </w:tcPr>
          <w:p>
            <w:pPr>
              <w:spacing w:line="300" w:lineRule="auto"/>
              <w:jc w:val="center"/>
              <w:rPr>
                <w:sz w:val="24"/>
                <w:szCs w:val="24"/>
              </w:rPr>
            </w:pPr>
            <w:r>
              <w:rPr>
                <w:rFonts w:hint="eastAsia"/>
                <w:sz w:val="24"/>
                <w:szCs w:val="24"/>
              </w:rPr>
              <w:t>1.57</w:t>
            </w:r>
          </w:p>
        </w:tc>
        <w:tc>
          <w:tcPr>
            <w:tcW w:w="1150" w:type="dxa"/>
            <w:vAlign w:val="center"/>
          </w:tcPr>
          <w:p>
            <w:pPr>
              <w:spacing w:line="300" w:lineRule="auto"/>
              <w:jc w:val="center"/>
              <w:rPr>
                <w:sz w:val="24"/>
                <w:szCs w:val="24"/>
              </w:rPr>
            </w:pPr>
            <w:r>
              <w:rPr>
                <w:rFonts w:hint="eastAsia"/>
                <w:sz w:val="24"/>
                <w:szCs w:val="24"/>
              </w:rPr>
              <w:t>1.67</w:t>
            </w:r>
          </w:p>
        </w:tc>
      </w:tr>
    </w:tbl>
    <w:p>
      <w:pPr>
        <w:spacing w:line="300" w:lineRule="auto"/>
        <w:ind w:firstLine="480" w:firstLineChars="200"/>
        <w:rPr>
          <w:sz w:val="24"/>
          <w:szCs w:val="24"/>
        </w:rPr>
      </w:pPr>
      <w:r>
        <w:rPr>
          <w:sz w:val="24"/>
          <w:szCs w:val="24"/>
        </w:rPr>
        <w:t>从总体上来讲</w:t>
      </w:r>
      <w:r>
        <w:rPr>
          <w:rFonts w:hint="eastAsia"/>
          <w:sz w:val="24"/>
          <w:szCs w:val="24"/>
        </w:rPr>
        <w:t>，</w:t>
      </w:r>
      <w:r>
        <w:rPr>
          <w:sz w:val="24"/>
          <w:szCs w:val="24"/>
        </w:rPr>
        <w:t>上述评测结果对于中国贸易便利化水平的评价具有一定参考意义的</w:t>
      </w:r>
      <w:r>
        <w:rPr>
          <w:rFonts w:hint="eastAsia"/>
          <w:sz w:val="24"/>
          <w:szCs w:val="24"/>
        </w:rPr>
        <w:t>，</w:t>
      </w:r>
      <w:r>
        <w:rPr>
          <w:sz w:val="24"/>
          <w:szCs w:val="24"/>
        </w:rPr>
        <w:t>但是</w:t>
      </w:r>
      <w:r>
        <w:rPr>
          <w:rFonts w:hint="eastAsia"/>
          <w:sz w:val="24"/>
          <w:szCs w:val="24"/>
        </w:rPr>
        <w:t>，</w:t>
      </w:r>
      <w:r>
        <w:rPr>
          <w:sz w:val="24"/>
          <w:szCs w:val="24"/>
        </w:rPr>
        <w:t>根据众多相关领域专业人士的意见</w:t>
      </w:r>
      <w:r>
        <w:rPr>
          <w:rFonts w:hint="eastAsia"/>
          <w:sz w:val="24"/>
          <w:szCs w:val="24"/>
        </w:rPr>
        <w:t>，</w:t>
      </w:r>
      <w:r>
        <w:rPr>
          <w:sz w:val="24"/>
          <w:szCs w:val="24"/>
        </w:rPr>
        <w:t>OECD的评测结论与中国实际情况依然有着较大偏差</w:t>
      </w:r>
      <w:r>
        <w:rPr>
          <w:rFonts w:hint="eastAsia"/>
          <w:sz w:val="24"/>
          <w:szCs w:val="24"/>
        </w:rPr>
        <w:t>，如以2017年的评测为例，</w:t>
      </w:r>
      <w:r>
        <w:rPr>
          <w:sz w:val="24"/>
          <w:szCs w:val="24"/>
        </w:rPr>
        <w:t>最明显的几个方面如下</w:t>
      </w:r>
      <w:r>
        <w:rPr>
          <w:rFonts w:hint="eastAsia"/>
          <w:sz w:val="24"/>
          <w:szCs w:val="24"/>
        </w:rPr>
        <w:t>：</w:t>
      </w:r>
    </w:p>
    <w:p>
      <w:pPr>
        <w:spacing w:line="300" w:lineRule="auto"/>
        <w:ind w:firstLine="480" w:firstLineChars="200"/>
        <w:rPr>
          <w:sz w:val="24"/>
          <w:szCs w:val="24"/>
        </w:rPr>
      </w:pPr>
      <w:r>
        <w:rPr>
          <w:sz w:val="24"/>
          <w:szCs w:val="24"/>
        </w:rPr>
        <w:t>1</w:t>
      </w:r>
      <w:r>
        <w:rPr>
          <w:rFonts w:hint="eastAsia"/>
          <w:sz w:val="24"/>
          <w:szCs w:val="24"/>
        </w:rPr>
        <w:t>）“预裁定”评分过高。中国海关就贸易企业最为关注的归类、价格以及原产地事项制定了相应的预裁定法律规章，但是总体的预裁定管理办法与其他相关法律规章间缺乏整体协调，流程和要求不够规范统一，所以尽管中国在预裁定方面有所进步，但尚未达到OECD的评价结论。</w:t>
      </w:r>
    </w:p>
    <w:p>
      <w:pPr>
        <w:spacing w:line="300" w:lineRule="auto"/>
        <w:ind w:firstLine="480" w:firstLineChars="200"/>
        <w:rPr>
          <w:sz w:val="24"/>
          <w:szCs w:val="24"/>
        </w:rPr>
      </w:pPr>
      <w:r>
        <w:rPr>
          <w:sz w:val="24"/>
          <w:szCs w:val="24"/>
        </w:rPr>
        <w:t>2</w:t>
      </w:r>
      <w:r>
        <w:rPr>
          <w:rFonts w:hint="eastAsia"/>
          <w:sz w:val="24"/>
          <w:szCs w:val="24"/>
        </w:rPr>
        <w:t>）“手续”相关的三个指标评分不符合实际。在“手续”相关的三个方面——单证、自动化、流程，中国近年来的进步是有目共睹的，通过一系列改革，单证要求和业务流程已经有大幅简化，各种信息系统的应用和改进使得也自动化更进一步，这些都可以从企业的反馈中体现出来，OECD的评分却并没有体现出这种进步。</w:t>
      </w:r>
    </w:p>
    <w:p>
      <w:pPr>
        <w:spacing w:line="300" w:lineRule="auto"/>
        <w:ind w:firstLine="480" w:firstLineChars="200"/>
        <w:rPr>
          <w:sz w:val="24"/>
          <w:szCs w:val="24"/>
        </w:rPr>
      </w:pPr>
      <w:r>
        <w:rPr>
          <w:sz w:val="24"/>
          <w:szCs w:val="24"/>
        </w:rPr>
        <w:t>3</w:t>
      </w:r>
      <w:r>
        <w:rPr>
          <w:rFonts w:hint="eastAsia"/>
          <w:sz w:val="24"/>
          <w:szCs w:val="24"/>
        </w:rPr>
        <w:t>）“边境机构合作”相关的两个指标评分不符合实际。近年来，中国海关努力推行“通关一体化改革”，并与检验检疫部门就联合协作进行了诸多工作，而与其他贸易相关监管部门也就监管证件联网方面取得了很多进展。对于对外合作，总体来讲中国监管机构的态度是非常积极的，包括中国海关在内的各个监管部门都不断寻求与边境国家对应机构的合作和交流，例如近年来中国海关与多个边境接壤国家联合监管项目的启动。可是，在OECD的评分中，无论是内部合作还是外部合作，都没有反映出中国的实际情况。</w:t>
      </w:r>
    </w:p>
    <w:p>
      <w:pPr>
        <w:spacing w:before="312" w:beforeLines="100" w:line="300" w:lineRule="auto"/>
        <w:rPr>
          <w:rFonts w:ascii="黑体" w:hAnsi="黑体" w:eastAsia="黑体"/>
          <w:sz w:val="32"/>
          <w:szCs w:val="32"/>
        </w:rPr>
      </w:pPr>
      <w:r>
        <w:rPr>
          <w:rFonts w:hint="eastAsia" w:ascii="黑体" w:hAnsi="黑体" w:eastAsia="黑体"/>
          <w:sz w:val="32"/>
          <w:szCs w:val="32"/>
        </w:rPr>
        <w:t>产生偏差的原因</w:t>
      </w:r>
    </w:p>
    <w:p>
      <w:pPr>
        <w:spacing w:line="300" w:lineRule="auto"/>
        <w:ind w:firstLine="480" w:firstLineChars="200"/>
        <w:rPr>
          <w:sz w:val="24"/>
          <w:szCs w:val="24"/>
        </w:rPr>
      </w:pPr>
      <w:r>
        <w:rPr>
          <w:sz w:val="24"/>
          <w:szCs w:val="24"/>
        </w:rPr>
        <w:t>1</w:t>
      </w:r>
      <w:r>
        <w:rPr>
          <w:rFonts w:hint="eastAsia"/>
          <w:sz w:val="24"/>
          <w:szCs w:val="24"/>
        </w:rPr>
        <w:t>）数据来源与分数计算中存在的问题。二级指标中有众多指标是通过其他报告或数据库中的数据进行间接评分，而这些报告或者数据库中的数据本身就存在问题，以“程序性手续”下的二级指标“通关时间”评分为例，OECD使用了世界银行《物流绩效指数报告》中的“平均通关时间”，中国在此报告中的这项指标2014年和2016年分别为2.07天和2.10天，但是实际情况是，在这期间两年时间内，包括中国海关在内的相关监管机构采取了很多优化通关手续的措施，使得平均通关时间有着大幅度的缩短，因此世界银行《物流绩效指数报告》的描述并不客观，而OECD利用世行报告的数据再间接计算出相关指标的得分就更加值得推敲了。</w:t>
      </w:r>
    </w:p>
    <w:p>
      <w:pPr>
        <w:spacing w:line="300" w:lineRule="auto"/>
        <w:ind w:firstLine="480" w:firstLineChars="200"/>
        <w:rPr>
          <w:sz w:val="24"/>
          <w:szCs w:val="24"/>
        </w:rPr>
      </w:pPr>
      <w:r>
        <w:rPr>
          <w:rFonts w:hint="eastAsia"/>
          <w:sz w:val="24"/>
          <w:szCs w:val="24"/>
        </w:rPr>
        <w:t>2）OECD的间接计分方法也并不合理。仍以“程序性手续”下的“通关时间”为例，当经济体在世行《物流绩效指数报告》中的“平均通关时间”排在所有经济体中前30%时，OECD给出0分，排在最后的30%时，给出2分，如果在排在中间的40%，给出1分，然而如果一个经济体的排名有了很大变化，但是依然没有离开划定的3个范围，那该经济体此项指标的得分就不会改变，也就不能反映出真实的情况。</w:t>
      </w:r>
    </w:p>
    <w:p>
      <w:pPr>
        <w:spacing w:line="300" w:lineRule="auto"/>
        <w:ind w:firstLine="480" w:firstLineChars="200"/>
        <w:rPr>
          <w:sz w:val="24"/>
          <w:szCs w:val="24"/>
        </w:rPr>
      </w:pPr>
      <w:r>
        <w:rPr>
          <w:sz w:val="24"/>
          <w:szCs w:val="24"/>
        </w:rPr>
        <w:t>3</w:t>
      </w:r>
      <w:r>
        <w:rPr>
          <w:rFonts w:hint="eastAsia"/>
          <w:sz w:val="24"/>
          <w:szCs w:val="24"/>
        </w:rPr>
        <w:t>）没有考虑到各个指标重要性的差异。OECD把二级指标得分算数平均计算出上一级一级指标得分，然后将11个一级指标得分的算数平均值作为对经济体贸易便利化总体水平的评价，这样做显然是不合理的，没有考虑到各个指标之间重要性差异，也没有考虑到各个指标之间可能存在的相关性。</w:t>
      </w:r>
    </w:p>
    <w:p>
      <w:pPr>
        <w:spacing w:before="312" w:beforeLines="100" w:line="300" w:lineRule="auto"/>
        <w:rPr>
          <w:rFonts w:ascii="黑体" w:hAnsi="黑体" w:eastAsia="黑体"/>
          <w:sz w:val="32"/>
          <w:szCs w:val="32"/>
        </w:rPr>
      </w:pPr>
      <w:r>
        <w:rPr>
          <w:rFonts w:hint="eastAsia" w:ascii="黑体" w:hAnsi="黑体" w:eastAsia="黑体"/>
          <w:sz w:val="32"/>
          <w:szCs w:val="32"/>
        </w:rPr>
        <w:t>睿库的调整和实践工作</w:t>
      </w:r>
    </w:p>
    <w:p>
      <w:pPr>
        <w:spacing w:line="300" w:lineRule="auto"/>
        <w:ind w:firstLine="480" w:firstLineChars="200"/>
        <w:rPr>
          <w:sz w:val="24"/>
          <w:szCs w:val="24"/>
        </w:rPr>
      </w:pPr>
      <w:r>
        <w:rPr>
          <w:rFonts w:hint="eastAsia"/>
          <w:sz w:val="24"/>
          <w:szCs w:val="24"/>
        </w:rPr>
        <w:t>睿库基于OECD贸易便利化测评方法论，针对其上述两方面的不足，进行了针对性的调整和改进，并开展了具体的实践测评：</w:t>
      </w:r>
    </w:p>
    <w:p>
      <w:pPr>
        <w:spacing w:line="300" w:lineRule="auto"/>
        <w:ind w:firstLine="480" w:firstLineChars="200"/>
        <w:rPr>
          <w:sz w:val="24"/>
          <w:szCs w:val="24"/>
        </w:rPr>
      </w:pPr>
      <w:r>
        <w:rPr>
          <w:sz w:val="24"/>
          <w:szCs w:val="24"/>
        </w:rPr>
        <w:t>1</w:t>
      </w:r>
      <w:r>
        <w:rPr>
          <w:rFonts w:hint="eastAsia"/>
          <w:sz w:val="24"/>
          <w:szCs w:val="24"/>
        </w:rPr>
        <w:t>）针对数据来源的改进。OECD的测评方法中，基础数据主要来源于各个经济体海关网站和其他国际机构的报告或者数据库，而这些数据来源尤其后者，根据之前的论述，并不能非常客观地反映实际情况，因此睿库摒弃了类似的数据来源，而是邀请相关领域的专业人士直接对二级指标进行评分（百分制）</w:t>
      </w:r>
      <w:r>
        <w:rPr>
          <w:rStyle w:val="6"/>
          <w:sz w:val="24"/>
          <w:szCs w:val="24"/>
        </w:rPr>
        <w:footnoteReference w:id="0"/>
      </w:r>
      <w:r>
        <w:rPr>
          <w:rFonts w:hint="eastAsia"/>
          <w:sz w:val="24"/>
          <w:szCs w:val="24"/>
        </w:rPr>
        <w:t>。当然，对于邀请的对象，睿库同样设置了一定的条件：</w:t>
      </w:r>
    </w:p>
    <w:p>
      <w:pPr>
        <w:spacing w:line="300" w:lineRule="auto"/>
        <w:ind w:firstLine="480" w:firstLineChars="200"/>
        <w:rPr>
          <w:sz w:val="24"/>
          <w:szCs w:val="24"/>
        </w:rPr>
      </w:pPr>
      <w:r>
        <w:rPr>
          <w:rFonts w:hint="eastAsia"/>
          <w:sz w:val="24"/>
          <w:szCs w:val="24"/>
        </w:rPr>
        <w:t>a</w:t>
      </w:r>
      <w:r>
        <w:rPr>
          <w:sz w:val="24"/>
          <w:szCs w:val="24"/>
        </w:rPr>
        <w:t>. 当前仍从事于贸易领域相关工作</w:t>
      </w:r>
      <w:r>
        <w:rPr>
          <w:rFonts w:hint="eastAsia"/>
          <w:sz w:val="24"/>
          <w:szCs w:val="24"/>
        </w:rPr>
        <w:t>；</w:t>
      </w:r>
    </w:p>
    <w:p>
      <w:pPr>
        <w:spacing w:line="300" w:lineRule="auto"/>
        <w:ind w:firstLine="480" w:firstLineChars="200"/>
        <w:rPr>
          <w:sz w:val="24"/>
          <w:szCs w:val="24"/>
        </w:rPr>
      </w:pPr>
      <w:r>
        <w:rPr>
          <w:sz w:val="24"/>
          <w:szCs w:val="24"/>
        </w:rPr>
        <w:t>b. 已经拥有相关领域</w:t>
      </w:r>
      <w:r>
        <w:rPr>
          <w:rFonts w:hint="eastAsia"/>
          <w:sz w:val="24"/>
          <w:szCs w:val="24"/>
        </w:rPr>
        <w:t>5年以上工作经验；</w:t>
      </w:r>
    </w:p>
    <w:p>
      <w:pPr>
        <w:spacing w:line="300" w:lineRule="auto"/>
        <w:ind w:firstLine="480" w:firstLineChars="200"/>
        <w:rPr>
          <w:sz w:val="24"/>
          <w:szCs w:val="24"/>
        </w:rPr>
      </w:pPr>
      <w:r>
        <w:rPr>
          <w:sz w:val="24"/>
          <w:szCs w:val="24"/>
        </w:rPr>
        <w:t>c.</w:t>
      </w:r>
      <w:r>
        <w:rPr>
          <w:rFonts w:hint="eastAsia"/>
          <w:sz w:val="24"/>
          <w:szCs w:val="24"/>
        </w:rPr>
        <w:t xml:space="preserve"> 关注贸易便利化在中国的推进并愿意投入一定的精力参与到评测工作。</w:t>
      </w:r>
    </w:p>
    <w:p>
      <w:pPr>
        <w:spacing w:line="300" w:lineRule="auto"/>
        <w:ind w:firstLine="480" w:firstLineChars="200"/>
        <w:rPr>
          <w:sz w:val="24"/>
          <w:szCs w:val="24"/>
        </w:rPr>
      </w:pPr>
      <w:r>
        <w:rPr>
          <w:rFonts w:hint="eastAsia"/>
          <w:sz w:val="24"/>
          <w:szCs w:val="24"/>
        </w:rPr>
        <w:t>在2017年进行的测评中共邀请了21位专业人士，这些专业人士来自于政府相关部门（海关、出入境检验检疫机构等）、贸易领域企业以及第三方独立研究机构。对于各二级指标所得到的评分，去掉最高分和最低分后进行平均，得出二级指标的最终得分。</w:t>
      </w:r>
    </w:p>
    <w:p>
      <w:pPr>
        <w:spacing w:line="300" w:lineRule="auto"/>
        <w:ind w:firstLine="480" w:firstLineChars="200"/>
        <w:rPr>
          <w:sz w:val="24"/>
          <w:szCs w:val="24"/>
        </w:rPr>
      </w:pPr>
      <w:r>
        <w:rPr>
          <w:sz w:val="24"/>
          <w:szCs w:val="24"/>
        </w:rPr>
        <w:t>2</w:t>
      </w:r>
      <w:r>
        <w:rPr>
          <w:rFonts w:hint="eastAsia"/>
          <w:sz w:val="24"/>
          <w:szCs w:val="24"/>
        </w:rPr>
        <w:t>） 指标权重的设定。合理的权重设置，一方面可以体现不同指标的重要性，另一方面可以减少指标间可能存在的关联性对最终结论的影响。睿库从参与到指标评分的21位专业人士中遴选出</w:t>
      </w:r>
      <w:r>
        <w:rPr>
          <w:sz w:val="24"/>
          <w:szCs w:val="24"/>
        </w:rPr>
        <w:t>3</w:t>
      </w:r>
      <w:r>
        <w:rPr>
          <w:rFonts w:hint="eastAsia"/>
          <w:sz w:val="24"/>
          <w:szCs w:val="24"/>
        </w:rPr>
        <w:t>位最为资深的专家对各个一级指标和二级指标进行重要性评估，根据评估的结果设定具体的权重。</w:t>
      </w:r>
      <w:r>
        <w:rPr>
          <w:sz w:val="24"/>
          <w:szCs w:val="24"/>
        </w:rPr>
        <w:t>一级指标的权重</w:t>
      </w:r>
      <w:r>
        <w:rPr>
          <w:rStyle w:val="6"/>
          <w:sz w:val="24"/>
          <w:szCs w:val="24"/>
        </w:rPr>
        <w:footnoteReference w:id="1"/>
      </w:r>
      <w:r>
        <w:rPr>
          <w:sz w:val="24"/>
          <w:szCs w:val="24"/>
        </w:rPr>
        <w:t>如下</w:t>
      </w:r>
      <w:r>
        <w:rPr>
          <w:rFonts w:hint="eastAsia"/>
          <w:sz w:val="24"/>
          <w:szCs w:val="24"/>
        </w:rPr>
        <w:t>：</w:t>
      </w:r>
    </w:p>
    <w:p>
      <w:pPr>
        <w:spacing w:line="300" w:lineRule="auto"/>
        <w:ind w:firstLine="480" w:firstLineChars="200"/>
        <w:rPr>
          <w:sz w:val="24"/>
          <w:szCs w:val="24"/>
        </w:rPr>
      </w:pPr>
    </w:p>
    <w:p>
      <w:pPr>
        <w:spacing w:line="300" w:lineRule="auto"/>
        <w:jc w:val="center"/>
        <w:rPr>
          <w:b/>
          <w:sz w:val="24"/>
          <w:szCs w:val="24"/>
        </w:rPr>
      </w:pPr>
      <w:r>
        <w:rPr>
          <w:rFonts w:hint="eastAsia"/>
          <w:b/>
          <w:sz w:val="24"/>
          <w:szCs w:val="24"/>
        </w:rPr>
        <w:t>表</w:t>
      </w:r>
      <w:r>
        <w:rPr>
          <w:b/>
          <w:sz w:val="24"/>
          <w:szCs w:val="24"/>
        </w:rPr>
        <w:t>2: 睿库对于OECD贸易便利化</w:t>
      </w:r>
      <w:r>
        <w:rPr>
          <w:rFonts w:hint="eastAsia"/>
          <w:b/>
          <w:sz w:val="24"/>
          <w:szCs w:val="24"/>
        </w:rPr>
        <w:t>测评11个一级指标的权重设定</w:t>
      </w:r>
    </w:p>
    <w:tbl>
      <w:tblPr>
        <w:tblStyle w:val="8"/>
        <w:tblW w:w="83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13"/>
        <w:gridCol w:w="1914"/>
        <w:gridCol w:w="1914"/>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04" w:type="dxa"/>
            <w:vAlign w:val="center"/>
          </w:tcPr>
          <w:p>
            <w:pPr>
              <w:spacing w:line="300" w:lineRule="auto"/>
              <w:jc w:val="center"/>
              <w:rPr>
                <w:b/>
                <w:sz w:val="24"/>
                <w:szCs w:val="24"/>
              </w:rPr>
            </w:pPr>
            <w:r>
              <w:rPr>
                <w:rFonts w:hint="eastAsia"/>
                <w:b/>
                <w:sz w:val="24"/>
                <w:szCs w:val="24"/>
              </w:rPr>
              <w:t>指标</w:t>
            </w:r>
          </w:p>
        </w:tc>
        <w:tc>
          <w:tcPr>
            <w:tcW w:w="1913" w:type="dxa"/>
            <w:vAlign w:val="center"/>
          </w:tcPr>
          <w:p>
            <w:pPr>
              <w:spacing w:line="300" w:lineRule="auto"/>
              <w:jc w:val="center"/>
              <w:rPr>
                <w:b/>
                <w:sz w:val="24"/>
                <w:szCs w:val="24"/>
              </w:rPr>
            </w:pPr>
            <w:r>
              <w:rPr>
                <w:rFonts w:hint="eastAsia"/>
                <w:b/>
                <w:sz w:val="24"/>
                <w:szCs w:val="24"/>
              </w:rPr>
              <w:t>信息的可获得性</w:t>
            </w:r>
          </w:p>
        </w:tc>
        <w:tc>
          <w:tcPr>
            <w:tcW w:w="1914" w:type="dxa"/>
            <w:vAlign w:val="center"/>
          </w:tcPr>
          <w:p>
            <w:pPr>
              <w:spacing w:line="300" w:lineRule="auto"/>
              <w:jc w:val="center"/>
              <w:rPr>
                <w:b/>
                <w:sz w:val="24"/>
                <w:szCs w:val="24"/>
              </w:rPr>
            </w:pPr>
            <w:r>
              <w:rPr>
                <w:b/>
                <w:sz w:val="24"/>
                <w:szCs w:val="24"/>
              </w:rPr>
              <w:t>贸易商的参与</w:t>
            </w:r>
          </w:p>
        </w:tc>
        <w:tc>
          <w:tcPr>
            <w:tcW w:w="1914" w:type="dxa"/>
            <w:vAlign w:val="center"/>
          </w:tcPr>
          <w:p>
            <w:pPr>
              <w:spacing w:line="300" w:lineRule="auto"/>
              <w:jc w:val="center"/>
              <w:rPr>
                <w:b/>
                <w:sz w:val="24"/>
                <w:szCs w:val="24"/>
              </w:rPr>
            </w:pPr>
            <w:r>
              <w:rPr>
                <w:b/>
                <w:sz w:val="24"/>
                <w:szCs w:val="24"/>
              </w:rPr>
              <w:t>预裁定</w:t>
            </w:r>
          </w:p>
        </w:tc>
        <w:tc>
          <w:tcPr>
            <w:tcW w:w="1914" w:type="dxa"/>
            <w:vAlign w:val="center"/>
          </w:tcPr>
          <w:p>
            <w:pPr>
              <w:spacing w:line="300" w:lineRule="auto"/>
              <w:jc w:val="center"/>
              <w:rPr>
                <w:b/>
                <w:sz w:val="24"/>
                <w:szCs w:val="24"/>
              </w:rPr>
            </w:pPr>
            <w:r>
              <w:rPr>
                <w:b/>
                <w:sz w:val="24"/>
                <w:szCs w:val="24"/>
              </w:rPr>
              <w:t>上诉程序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04" w:type="dxa"/>
            <w:vAlign w:val="center"/>
          </w:tcPr>
          <w:p>
            <w:pPr>
              <w:spacing w:line="300" w:lineRule="auto"/>
              <w:jc w:val="center"/>
              <w:rPr>
                <w:b/>
                <w:bCs/>
                <w:iCs/>
                <w:sz w:val="24"/>
                <w:szCs w:val="24"/>
              </w:rPr>
            </w:pPr>
            <w:r>
              <w:rPr>
                <w:rFonts w:hint="eastAsia"/>
                <w:b/>
                <w:bCs/>
                <w:iCs/>
                <w:sz w:val="24"/>
                <w:szCs w:val="24"/>
              </w:rPr>
              <w:t>权重</w:t>
            </w:r>
          </w:p>
        </w:tc>
        <w:tc>
          <w:tcPr>
            <w:tcW w:w="1913" w:type="dxa"/>
            <w:vAlign w:val="center"/>
          </w:tcPr>
          <w:p>
            <w:pPr>
              <w:spacing w:line="300" w:lineRule="auto"/>
              <w:jc w:val="center"/>
              <w:rPr>
                <w:bCs/>
                <w:iCs/>
                <w:sz w:val="24"/>
                <w:szCs w:val="24"/>
              </w:rPr>
            </w:pPr>
            <w:r>
              <w:rPr>
                <w:rFonts w:hint="eastAsia"/>
                <w:bCs/>
                <w:iCs/>
                <w:sz w:val="24"/>
                <w:szCs w:val="24"/>
              </w:rPr>
              <w:t>0.11</w:t>
            </w:r>
          </w:p>
        </w:tc>
        <w:tc>
          <w:tcPr>
            <w:tcW w:w="1914" w:type="dxa"/>
            <w:vAlign w:val="center"/>
          </w:tcPr>
          <w:p>
            <w:pPr>
              <w:spacing w:line="300" w:lineRule="auto"/>
              <w:jc w:val="center"/>
              <w:rPr>
                <w:bCs/>
                <w:iCs/>
                <w:sz w:val="24"/>
                <w:szCs w:val="24"/>
              </w:rPr>
            </w:pPr>
            <w:r>
              <w:rPr>
                <w:rFonts w:hint="eastAsia"/>
                <w:bCs/>
                <w:iCs/>
                <w:sz w:val="24"/>
                <w:szCs w:val="24"/>
              </w:rPr>
              <w:t>0.11</w:t>
            </w:r>
          </w:p>
        </w:tc>
        <w:tc>
          <w:tcPr>
            <w:tcW w:w="1914" w:type="dxa"/>
            <w:vAlign w:val="center"/>
          </w:tcPr>
          <w:p>
            <w:pPr>
              <w:spacing w:line="300" w:lineRule="auto"/>
              <w:jc w:val="center"/>
              <w:rPr>
                <w:bCs/>
                <w:iCs/>
                <w:sz w:val="24"/>
                <w:szCs w:val="24"/>
              </w:rPr>
            </w:pPr>
            <w:r>
              <w:rPr>
                <w:rFonts w:hint="eastAsia"/>
                <w:bCs/>
                <w:iCs/>
                <w:sz w:val="24"/>
                <w:szCs w:val="24"/>
              </w:rPr>
              <w:t>0.09</w:t>
            </w:r>
          </w:p>
        </w:tc>
        <w:tc>
          <w:tcPr>
            <w:tcW w:w="1914" w:type="dxa"/>
            <w:vAlign w:val="center"/>
          </w:tcPr>
          <w:p>
            <w:pPr>
              <w:spacing w:line="300" w:lineRule="auto"/>
              <w:jc w:val="center"/>
              <w:rPr>
                <w:bCs/>
                <w:iCs/>
                <w:sz w:val="24"/>
                <w:szCs w:val="24"/>
              </w:rPr>
            </w:pPr>
            <w:r>
              <w:rPr>
                <w:rFonts w:hint="eastAsia"/>
                <w:bCs/>
                <w:iCs/>
                <w:sz w:val="24"/>
                <w:szCs w:val="24"/>
              </w:rPr>
              <w:t>0.1</w:t>
            </w:r>
            <w:r>
              <w:rPr>
                <w:bCs/>
                <w:i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04" w:type="dxa"/>
            <w:vAlign w:val="center"/>
          </w:tcPr>
          <w:p>
            <w:pPr>
              <w:spacing w:line="300" w:lineRule="auto"/>
              <w:jc w:val="center"/>
              <w:rPr>
                <w:b/>
                <w:sz w:val="24"/>
                <w:szCs w:val="24"/>
              </w:rPr>
            </w:pPr>
            <w:r>
              <w:rPr>
                <w:b/>
                <w:sz w:val="24"/>
                <w:szCs w:val="24"/>
              </w:rPr>
              <w:t>指标</w:t>
            </w:r>
          </w:p>
        </w:tc>
        <w:tc>
          <w:tcPr>
            <w:tcW w:w="1913" w:type="dxa"/>
            <w:vAlign w:val="center"/>
          </w:tcPr>
          <w:p>
            <w:pPr>
              <w:spacing w:line="300" w:lineRule="auto"/>
              <w:jc w:val="center"/>
              <w:rPr>
                <w:b/>
                <w:sz w:val="24"/>
                <w:szCs w:val="24"/>
              </w:rPr>
            </w:pPr>
            <w:r>
              <w:rPr>
                <w:b/>
                <w:sz w:val="24"/>
                <w:szCs w:val="24"/>
              </w:rPr>
              <w:t>规费与费用</w:t>
            </w:r>
          </w:p>
        </w:tc>
        <w:tc>
          <w:tcPr>
            <w:tcW w:w="1914" w:type="dxa"/>
            <w:vAlign w:val="center"/>
          </w:tcPr>
          <w:p>
            <w:pPr>
              <w:spacing w:line="300" w:lineRule="auto"/>
              <w:jc w:val="center"/>
              <w:rPr>
                <w:b/>
                <w:sz w:val="24"/>
                <w:szCs w:val="24"/>
              </w:rPr>
            </w:pPr>
            <w:r>
              <w:rPr>
                <w:b/>
                <w:sz w:val="24"/>
                <w:szCs w:val="24"/>
              </w:rPr>
              <w:t>手续</w:t>
            </w:r>
            <w:r>
              <w:rPr>
                <w:rFonts w:hint="eastAsia"/>
                <w:b/>
                <w:sz w:val="24"/>
                <w:szCs w:val="24"/>
              </w:rPr>
              <w:t>-</w:t>
            </w:r>
            <w:r>
              <w:rPr>
                <w:b/>
                <w:sz w:val="24"/>
                <w:szCs w:val="24"/>
              </w:rPr>
              <w:t>单证</w:t>
            </w:r>
          </w:p>
        </w:tc>
        <w:tc>
          <w:tcPr>
            <w:tcW w:w="1914" w:type="dxa"/>
            <w:vAlign w:val="center"/>
          </w:tcPr>
          <w:p>
            <w:pPr>
              <w:spacing w:line="300" w:lineRule="auto"/>
              <w:jc w:val="center"/>
              <w:rPr>
                <w:b/>
                <w:sz w:val="24"/>
                <w:szCs w:val="24"/>
              </w:rPr>
            </w:pPr>
            <w:r>
              <w:rPr>
                <w:rFonts w:hint="eastAsia"/>
                <w:b/>
                <w:sz w:val="24"/>
                <w:szCs w:val="24"/>
              </w:rPr>
              <w:t>手续-</w:t>
            </w:r>
            <w:r>
              <w:rPr>
                <w:b/>
                <w:sz w:val="24"/>
                <w:szCs w:val="24"/>
              </w:rPr>
              <w:t>自动化</w:t>
            </w:r>
          </w:p>
        </w:tc>
        <w:tc>
          <w:tcPr>
            <w:tcW w:w="1914" w:type="dxa"/>
            <w:vAlign w:val="center"/>
          </w:tcPr>
          <w:p>
            <w:pPr>
              <w:spacing w:line="300" w:lineRule="auto"/>
              <w:jc w:val="center"/>
              <w:rPr>
                <w:b/>
                <w:sz w:val="24"/>
                <w:szCs w:val="24"/>
              </w:rPr>
            </w:pPr>
            <w:r>
              <w:rPr>
                <w:b/>
                <w:sz w:val="24"/>
                <w:szCs w:val="24"/>
              </w:rPr>
              <w:t>手续</w:t>
            </w:r>
            <w:r>
              <w:rPr>
                <w:rFonts w:hint="eastAsia"/>
                <w:b/>
                <w:sz w:val="24"/>
                <w:szCs w:val="24"/>
              </w:rPr>
              <w:t>-</w:t>
            </w:r>
            <w:r>
              <w:rPr>
                <w:b/>
                <w:sz w:val="24"/>
                <w:szCs w:val="24"/>
              </w:rPr>
              <w:t>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04" w:type="dxa"/>
            <w:vAlign w:val="center"/>
          </w:tcPr>
          <w:p>
            <w:pPr>
              <w:spacing w:line="300" w:lineRule="auto"/>
              <w:jc w:val="center"/>
              <w:rPr>
                <w:b/>
                <w:bCs/>
                <w:iCs/>
                <w:sz w:val="24"/>
                <w:szCs w:val="24"/>
              </w:rPr>
            </w:pPr>
            <w:r>
              <w:rPr>
                <w:rFonts w:hint="eastAsia"/>
                <w:b/>
                <w:bCs/>
                <w:iCs/>
                <w:sz w:val="24"/>
                <w:szCs w:val="24"/>
              </w:rPr>
              <w:t>权重</w:t>
            </w:r>
          </w:p>
        </w:tc>
        <w:tc>
          <w:tcPr>
            <w:tcW w:w="1913" w:type="dxa"/>
            <w:vAlign w:val="center"/>
          </w:tcPr>
          <w:p>
            <w:pPr>
              <w:spacing w:line="300" w:lineRule="auto"/>
              <w:jc w:val="center"/>
              <w:rPr>
                <w:bCs/>
                <w:iCs/>
                <w:sz w:val="24"/>
                <w:szCs w:val="24"/>
              </w:rPr>
            </w:pPr>
            <w:r>
              <w:rPr>
                <w:rFonts w:hint="eastAsia"/>
                <w:bCs/>
                <w:iCs/>
                <w:sz w:val="24"/>
                <w:szCs w:val="24"/>
              </w:rPr>
              <w:t>0.09</w:t>
            </w:r>
          </w:p>
        </w:tc>
        <w:tc>
          <w:tcPr>
            <w:tcW w:w="1914" w:type="dxa"/>
            <w:vAlign w:val="center"/>
          </w:tcPr>
          <w:p>
            <w:pPr>
              <w:spacing w:line="300" w:lineRule="auto"/>
              <w:jc w:val="center"/>
              <w:rPr>
                <w:bCs/>
                <w:iCs/>
                <w:sz w:val="24"/>
                <w:szCs w:val="24"/>
              </w:rPr>
            </w:pPr>
            <w:r>
              <w:rPr>
                <w:rFonts w:hint="eastAsia"/>
                <w:bCs/>
                <w:iCs/>
                <w:sz w:val="24"/>
                <w:szCs w:val="24"/>
              </w:rPr>
              <w:t>0.09</w:t>
            </w:r>
          </w:p>
        </w:tc>
        <w:tc>
          <w:tcPr>
            <w:tcW w:w="1914" w:type="dxa"/>
            <w:vAlign w:val="center"/>
          </w:tcPr>
          <w:p>
            <w:pPr>
              <w:spacing w:line="300" w:lineRule="auto"/>
              <w:jc w:val="center"/>
              <w:rPr>
                <w:bCs/>
                <w:iCs/>
                <w:sz w:val="24"/>
                <w:szCs w:val="24"/>
              </w:rPr>
            </w:pPr>
            <w:r>
              <w:rPr>
                <w:rFonts w:hint="eastAsia"/>
                <w:bCs/>
                <w:iCs/>
                <w:sz w:val="24"/>
                <w:szCs w:val="24"/>
              </w:rPr>
              <w:t>0.08</w:t>
            </w:r>
          </w:p>
        </w:tc>
        <w:tc>
          <w:tcPr>
            <w:tcW w:w="1914" w:type="dxa"/>
            <w:vAlign w:val="center"/>
          </w:tcPr>
          <w:p>
            <w:pPr>
              <w:spacing w:line="300" w:lineRule="auto"/>
              <w:jc w:val="center"/>
              <w:rPr>
                <w:bCs/>
                <w:iCs/>
                <w:sz w:val="24"/>
                <w:szCs w:val="24"/>
              </w:rPr>
            </w:pPr>
            <w:r>
              <w:rPr>
                <w:rFonts w:hint="eastAsia"/>
                <w:bCs/>
                <w:iCs/>
                <w:sz w:val="24"/>
                <w:szCs w:val="24"/>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04" w:type="dxa"/>
            <w:vAlign w:val="center"/>
          </w:tcPr>
          <w:p>
            <w:pPr>
              <w:spacing w:line="300" w:lineRule="auto"/>
              <w:jc w:val="center"/>
              <w:rPr>
                <w:b/>
                <w:sz w:val="24"/>
                <w:szCs w:val="24"/>
              </w:rPr>
            </w:pPr>
            <w:r>
              <w:rPr>
                <w:b/>
                <w:sz w:val="24"/>
                <w:szCs w:val="24"/>
              </w:rPr>
              <w:t>指标</w:t>
            </w:r>
          </w:p>
        </w:tc>
        <w:tc>
          <w:tcPr>
            <w:tcW w:w="1913" w:type="dxa"/>
            <w:vAlign w:val="center"/>
          </w:tcPr>
          <w:p>
            <w:pPr>
              <w:spacing w:line="300" w:lineRule="auto"/>
              <w:jc w:val="center"/>
              <w:rPr>
                <w:b/>
                <w:sz w:val="24"/>
                <w:szCs w:val="24"/>
              </w:rPr>
            </w:pPr>
            <w:r>
              <w:rPr>
                <w:rFonts w:hint="eastAsia"/>
                <w:b/>
                <w:sz w:val="24"/>
                <w:szCs w:val="24"/>
              </w:rPr>
              <w:t>边境机构合作（内部）</w:t>
            </w:r>
          </w:p>
        </w:tc>
        <w:tc>
          <w:tcPr>
            <w:tcW w:w="1914" w:type="dxa"/>
            <w:vAlign w:val="center"/>
          </w:tcPr>
          <w:p>
            <w:pPr>
              <w:spacing w:line="300" w:lineRule="auto"/>
              <w:jc w:val="center"/>
              <w:rPr>
                <w:b/>
                <w:sz w:val="24"/>
                <w:szCs w:val="24"/>
              </w:rPr>
            </w:pPr>
            <w:r>
              <w:rPr>
                <w:rFonts w:hint="eastAsia"/>
                <w:b/>
                <w:sz w:val="24"/>
                <w:szCs w:val="24"/>
              </w:rPr>
              <w:t>边境机构合作（外部）</w:t>
            </w:r>
          </w:p>
        </w:tc>
        <w:tc>
          <w:tcPr>
            <w:tcW w:w="1914" w:type="dxa"/>
            <w:vAlign w:val="center"/>
          </w:tcPr>
          <w:p>
            <w:pPr>
              <w:spacing w:line="300" w:lineRule="auto"/>
              <w:jc w:val="center"/>
              <w:rPr>
                <w:b/>
                <w:sz w:val="24"/>
                <w:szCs w:val="24"/>
              </w:rPr>
            </w:pPr>
            <w:r>
              <w:rPr>
                <w:b/>
                <w:sz w:val="24"/>
                <w:szCs w:val="24"/>
              </w:rPr>
              <w:t>管理和公正性</w:t>
            </w:r>
          </w:p>
        </w:tc>
        <w:tc>
          <w:tcPr>
            <w:tcW w:w="1914" w:type="dxa"/>
            <w:vAlign w:val="center"/>
          </w:tcPr>
          <w:p>
            <w:pPr>
              <w:spacing w:line="300" w:lineRule="auto"/>
              <w:jc w:val="center"/>
              <w:rPr>
                <w:bCs/>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04" w:type="dxa"/>
            <w:vAlign w:val="center"/>
          </w:tcPr>
          <w:p>
            <w:pPr>
              <w:spacing w:line="300" w:lineRule="auto"/>
              <w:jc w:val="center"/>
              <w:rPr>
                <w:b/>
                <w:bCs/>
                <w:iCs/>
                <w:sz w:val="24"/>
                <w:szCs w:val="24"/>
              </w:rPr>
            </w:pPr>
            <w:r>
              <w:rPr>
                <w:rFonts w:hint="eastAsia"/>
                <w:b/>
                <w:bCs/>
                <w:iCs/>
                <w:sz w:val="24"/>
                <w:szCs w:val="24"/>
              </w:rPr>
              <w:t>权重</w:t>
            </w:r>
          </w:p>
        </w:tc>
        <w:tc>
          <w:tcPr>
            <w:tcW w:w="1913" w:type="dxa"/>
            <w:vAlign w:val="center"/>
          </w:tcPr>
          <w:p>
            <w:pPr>
              <w:spacing w:line="300" w:lineRule="auto"/>
              <w:jc w:val="center"/>
              <w:rPr>
                <w:bCs/>
                <w:iCs/>
                <w:sz w:val="24"/>
                <w:szCs w:val="24"/>
              </w:rPr>
            </w:pPr>
            <w:r>
              <w:rPr>
                <w:rFonts w:hint="eastAsia"/>
                <w:bCs/>
                <w:iCs/>
                <w:sz w:val="24"/>
                <w:szCs w:val="24"/>
              </w:rPr>
              <w:t>0.09</w:t>
            </w:r>
          </w:p>
        </w:tc>
        <w:tc>
          <w:tcPr>
            <w:tcW w:w="1914" w:type="dxa"/>
            <w:vAlign w:val="center"/>
          </w:tcPr>
          <w:p>
            <w:pPr>
              <w:spacing w:line="300" w:lineRule="auto"/>
              <w:jc w:val="center"/>
              <w:rPr>
                <w:bCs/>
                <w:iCs/>
                <w:sz w:val="24"/>
                <w:szCs w:val="24"/>
              </w:rPr>
            </w:pPr>
            <w:r>
              <w:rPr>
                <w:rFonts w:hint="eastAsia"/>
                <w:bCs/>
                <w:iCs/>
                <w:sz w:val="24"/>
                <w:szCs w:val="24"/>
              </w:rPr>
              <w:t>0.07</w:t>
            </w:r>
          </w:p>
        </w:tc>
        <w:tc>
          <w:tcPr>
            <w:tcW w:w="1914" w:type="dxa"/>
            <w:vAlign w:val="center"/>
          </w:tcPr>
          <w:p>
            <w:pPr>
              <w:spacing w:line="300" w:lineRule="auto"/>
              <w:jc w:val="center"/>
              <w:rPr>
                <w:bCs/>
                <w:iCs/>
                <w:sz w:val="24"/>
                <w:szCs w:val="24"/>
              </w:rPr>
            </w:pPr>
            <w:r>
              <w:rPr>
                <w:rFonts w:hint="eastAsia"/>
                <w:bCs/>
                <w:iCs/>
                <w:sz w:val="24"/>
                <w:szCs w:val="24"/>
              </w:rPr>
              <w:t>0.08</w:t>
            </w:r>
          </w:p>
        </w:tc>
        <w:tc>
          <w:tcPr>
            <w:tcW w:w="1914" w:type="dxa"/>
            <w:vAlign w:val="center"/>
          </w:tcPr>
          <w:p>
            <w:pPr>
              <w:spacing w:line="300" w:lineRule="auto"/>
              <w:jc w:val="center"/>
              <w:rPr>
                <w:bCs/>
                <w:iCs/>
                <w:sz w:val="24"/>
                <w:szCs w:val="24"/>
              </w:rPr>
            </w:pPr>
          </w:p>
        </w:tc>
      </w:tr>
    </w:tbl>
    <w:p>
      <w:pPr>
        <w:spacing w:line="300" w:lineRule="auto"/>
        <w:ind w:firstLine="480" w:firstLineChars="200"/>
        <w:rPr>
          <w:sz w:val="24"/>
          <w:szCs w:val="24"/>
        </w:rPr>
      </w:pPr>
      <w:r>
        <w:rPr>
          <w:sz w:val="24"/>
          <w:szCs w:val="24"/>
        </w:rPr>
        <w:t>基于上述两方面的调整和改进</w:t>
      </w:r>
      <w:r>
        <w:rPr>
          <w:rFonts w:hint="eastAsia"/>
          <w:sz w:val="24"/>
          <w:szCs w:val="24"/>
        </w:rPr>
        <w:t>，</w:t>
      </w:r>
      <w:r>
        <w:rPr>
          <w:sz w:val="24"/>
          <w:szCs w:val="24"/>
        </w:rPr>
        <w:t>最终可以得出</w:t>
      </w:r>
      <w:r>
        <w:rPr>
          <w:rFonts w:hint="eastAsia"/>
          <w:sz w:val="24"/>
          <w:szCs w:val="24"/>
        </w:rPr>
        <w:t>11个一指标的得分，与2017年OECD对中国贸易便利化评测的结果进行比较如下：</w:t>
      </w:r>
    </w:p>
    <w:p>
      <w:pPr>
        <w:spacing w:line="300" w:lineRule="auto"/>
        <w:jc w:val="center"/>
        <w:rPr>
          <w:sz w:val="24"/>
          <w:szCs w:val="24"/>
        </w:rPr>
      </w:pPr>
      <w:r>
        <w:rPr>
          <w:sz w:val="24"/>
          <w:szCs w:val="24"/>
        </w:rPr>
        <w:drawing>
          <wp:inline distT="0" distB="0" distL="0" distR="0">
            <wp:extent cx="3221355" cy="2667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cstate="print">
                      <a:extLst>
                        <a:ext uri="{28A0092B-C50C-407E-A947-70E740481C1C}">
                          <a14:useLocalDpi xmlns:a14="http://schemas.microsoft.com/office/drawing/2010/main" val="0"/>
                        </a:ext>
                      </a:extLst>
                    </a:blip>
                    <a:srcRect l="2437" t="2788" r="5584" b="5526"/>
                    <a:stretch>
                      <a:fillRect/>
                    </a:stretch>
                  </pic:blipFill>
                  <pic:spPr>
                    <a:xfrm>
                      <a:off x="0" y="0"/>
                      <a:ext cx="3230738" cy="2674452"/>
                    </a:xfrm>
                    <a:prstGeom prst="rect">
                      <a:avLst/>
                    </a:prstGeom>
                    <a:noFill/>
                    <a:ln>
                      <a:noFill/>
                    </a:ln>
                  </pic:spPr>
                </pic:pic>
              </a:graphicData>
            </a:graphic>
          </wp:inline>
        </w:drawing>
      </w:r>
    </w:p>
    <w:p>
      <w:pPr>
        <w:spacing w:line="300" w:lineRule="auto"/>
        <w:ind w:firstLine="480" w:firstLineChars="200"/>
        <w:rPr>
          <w:sz w:val="24"/>
          <w:szCs w:val="24"/>
        </w:rPr>
      </w:pPr>
      <w:r>
        <w:rPr>
          <w:sz w:val="24"/>
          <w:szCs w:val="24"/>
        </w:rPr>
        <w:t>我们将此结论在</w:t>
      </w:r>
      <w:r>
        <w:rPr>
          <w:rFonts w:hint="eastAsia"/>
          <w:sz w:val="24"/>
          <w:szCs w:val="24"/>
        </w:rPr>
        <w:t>《中国贸易便利化年度报告》（2017）中进行了公布，根据众多读者的反馈，相较于OECD的测评，由睿库组织的测评所得出的结论更加贴合于当前中国贸易便利化的实际情况，更真实地体现了中国在手续（单证、自动化、流程）方面的进步以及边境机构合作（内部、外部）方面的现状，也明确地体现出了在预裁定和商界参与方面存在的不足。</w:t>
      </w:r>
    </w:p>
    <w:p>
      <w:pPr>
        <w:spacing w:line="300" w:lineRule="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pPr>
      <w:r>
        <w:rPr>
          <w:rStyle w:val="6"/>
        </w:rPr>
        <w:footnoteRef/>
      </w:r>
      <w:r>
        <w:t xml:space="preserve"> </w:t>
      </w:r>
      <w:r>
        <w:rPr>
          <w:rFonts w:hint="eastAsia"/>
        </w:rPr>
        <w:t>具体的问卷，请见附件。</w:t>
      </w:r>
    </w:p>
  </w:footnote>
  <w:footnote w:id="1">
    <w:p>
      <w:pPr>
        <w:pStyle w:val="4"/>
      </w:pPr>
      <w:r>
        <w:rPr>
          <w:rStyle w:val="6"/>
        </w:rPr>
        <w:footnoteRef/>
      </w:r>
      <w:r>
        <w:t xml:space="preserve"> 权重设定的具体方法和</w:t>
      </w:r>
      <w:r>
        <w:rPr>
          <w:rFonts w:hint="eastAsia"/>
        </w:rPr>
        <w:t>二级指标的权重请见附件</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3F1"/>
    <w:rsid w:val="000161BD"/>
    <w:rsid w:val="00077847"/>
    <w:rsid w:val="00095BCB"/>
    <w:rsid w:val="00193024"/>
    <w:rsid w:val="001E609F"/>
    <w:rsid w:val="001F5725"/>
    <w:rsid w:val="001F5C9E"/>
    <w:rsid w:val="002521BF"/>
    <w:rsid w:val="00261021"/>
    <w:rsid w:val="00287084"/>
    <w:rsid w:val="003154A1"/>
    <w:rsid w:val="00346EF3"/>
    <w:rsid w:val="003707EB"/>
    <w:rsid w:val="003911CF"/>
    <w:rsid w:val="003A6FC9"/>
    <w:rsid w:val="003D265B"/>
    <w:rsid w:val="00466666"/>
    <w:rsid w:val="004943F3"/>
    <w:rsid w:val="004A6115"/>
    <w:rsid w:val="00526929"/>
    <w:rsid w:val="005700E6"/>
    <w:rsid w:val="005A472B"/>
    <w:rsid w:val="005A58AF"/>
    <w:rsid w:val="005B4FEC"/>
    <w:rsid w:val="005D5325"/>
    <w:rsid w:val="005F2F7B"/>
    <w:rsid w:val="005F6F98"/>
    <w:rsid w:val="00615892"/>
    <w:rsid w:val="006646BC"/>
    <w:rsid w:val="00683FF5"/>
    <w:rsid w:val="006963F1"/>
    <w:rsid w:val="006A551B"/>
    <w:rsid w:val="006B7052"/>
    <w:rsid w:val="006E3F02"/>
    <w:rsid w:val="00701B2B"/>
    <w:rsid w:val="00757435"/>
    <w:rsid w:val="007E3F8C"/>
    <w:rsid w:val="00835A18"/>
    <w:rsid w:val="008949CA"/>
    <w:rsid w:val="008C5FE8"/>
    <w:rsid w:val="008D00F7"/>
    <w:rsid w:val="00991B2C"/>
    <w:rsid w:val="00995191"/>
    <w:rsid w:val="009E01D9"/>
    <w:rsid w:val="009F04E9"/>
    <w:rsid w:val="009F38A2"/>
    <w:rsid w:val="00A22F5B"/>
    <w:rsid w:val="00AC2094"/>
    <w:rsid w:val="00BD210D"/>
    <w:rsid w:val="00C32958"/>
    <w:rsid w:val="00C61FEF"/>
    <w:rsid w:val="00C7507B"/>
    <w:rsid w:val="00C967EE"/>
    <w:rsid w:val="00CA25DD"/>
    <w:rsid w:val="00D052A1"/>
    <w:rsid w:val="00D22083"/>
    <w:rsid w:val="00DE5095"/>
    <w:rsid w:val="00DF5651"/>
    <w:rsid w:val="00E22580"/>
    <w:rsid w:val="00E628ED"/>
    <w:rsid w:val="00F50F79"/>
    <w:rsid w:val="00F65305"/>
    <w:rsid w:val="00FC5720"/>
    <w:rsid w:val="47AA1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link w:val="11"/>
    <w:semiHidden/>
    <w:unhideWhenUsed/>
    <w:qFormat/>
    <w:uiPriority w:val="99"/>
    <w:pPr>
      <w:snapToGrid w:val="0"/>
      <w:jc w:val="left"/>
    </w:pPr>
    <w:rPr>
      <w:sz w:val="18"/>
      <w:szCs w:val="18"/>
    </w:rPr>
  </w:style>
  <w:style w:type="character" w:styleId="6">
    <w:name w:val="footnote reference"/>
    <w:basedOn w:val="5"/>
    <w:semiHidden/>
    <w:unhideWhenUsed/>
    <w:qFormat/>
    <w:uiPriority w:val="99"/>
    <w:rPr>
      <w:vertAlign w:val="superscript"/>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3"/>
    <w:qFormat/>
    <w:uiPriority w:val="99"/>
    <w:rPr>
      <w:sz w:val="18"/>
      <w:szCs w:val="18"/>
    </w:rPr>
  </w:style>
  <w:style w:type="character" w:customStyle="1" w:styleId="10">
    <w:name w:val="页脚 Char"/>
    <w:basedOn w:val="5"/>
    <w:link w:val="2"/>
    <w:qFormat/>
    <w:uiPriority w:val="99"/>
    <w:rPr>
      <w:sz w:val="18"/>
      <w:szCs w:val="18"/>
    </w:rPr>
  </w:style>
  <w:style w:type="character" w:customStyle="1" w:styleId="11">
    <w:name w:val="脚注文本 Char"/>
    <w:basedOn w:val="5"/>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26E2C4-6CBD-4D36-9878-A2CD997A0267}">
  <ds:schemaRefs/>
</ds:datastoreItem>
</file>

<file path=docProps/app.xml><?xml version="1.0" encoding="utf-8"?>
<Properties xmlns="http://schemas.openxmlformats.org/officeDocument/2006/extended-properties" xmlns:vt="http://schemas.openxmlformats.org/officeDocument/2006/docPropsVTypes">
  <Template>Normal</Template>
  <Pages>5</Pages>
  <Words>531</Words>
  <Characters>3027</Characters>
  <Lines>25</Lines>
  <Paragraphs>7</Paragraphs>
  <TotalTime>963</TotalTime>
  <ScaleCrop>false</ScaleCrop>
  <LinksUpToDate>false</LinksUpToDate>
  <CharactersWithSpaces>3551</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2018-05-08T02:05:00Z</dcterms:created>
  <dc:creator>Re-code Ra4</dc:creator>
  <cp:lastModifiedBy>re-code3</cp:lastModifiedBy>
  <dcterms:modified xsi:type="dcterms:W3CDTF">2018-10-26T02:52:50Z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